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5A69C">
      <w:pPr>
        <w:spacing w:line="1200" w:lineRule="exact"/>
        <w:rPr>
          <w:rFonts w:hint="eastAsia" w:ascii="仿宋_GB2312" w:eastAsia="仿宋_GB2312"/>
          <w:sz w:val="32"/>
          <w:szCs w:val="32"/>
        </w:rPr>
      </w:pPr>
    </w:p>
    <w:p w14:paraId="055EB362">
      <w:pPr>
        <w:spacing w:line="1200" w:lineRule="exact"/>
        <w:rPr>
          <w:rFonts w:hint="eastAsia" w:ascii="仿宋_GB2312" w:eastAsia="仿宋_GB2312"/>
          <w:sz w:val="32"/>
          <w:szCs w:val="32"/>
        </w:rPr>
      </w:pPr>
    </w:p>
    <w:p w14:paraId="2B094BB6">
      <w:pPr>
        <w:ind w:right="-165" w:rightChars="-79"/>
        <w:jc w:val="both"/>
        <w:rPr>
          <w:rFonts w:hint="eastAsia" w:ascii="华文中宋" w:hAnsi="华文中宋" w:eastAsia="华文中宋" w:cs="华文中宋"/>
          <w:b/>
          <w:color w:val="FF0000"/>
          <w:spacing w:val="-34"/>
          <w:w w:val="66"/>
          <w:sz w:val="106"/>
          <w:szCs w:val="106"/>
        </w:rPr>
      </w:pPr>
      <w:r>
        <w:rPr>
          <w:rFonts w:hint="eastAsia" w:ascii="华文中宋" w:hAnsi="华文中宋" w:eastAsia="华文中宋" w:cs="华文中宋"/>
          <w:b/>
          <w:color w:val="FF0000"/>
          <w:spacing w:val="-34"/>
          <w:w w:val="66"/>
          <w:sz w:val="106"/>
          <w:szCs w:val="106"/>
        </w:rPr>
        <w:t>北京市门头沟区</w:t>
      </w:r>
      <w:r>
        <w:rPr>
          <w:rFonts w:hint="eastAsia" w:ascii="华文中宋" w:hAnsi="华文中宋" w:eastAsia="华文中宋" w:cs="华文中宋"/>
          <w:b/>
          <w:color w:val="FF0000"/>
          <w:spacing w:val="-34"/>
          <w:w w:val="66"/>
          <w:sz w:val="106"/>
          <w:szCs w:val="106"/>
          <w:lang w:eastAsia="zh-CN"/>
        </w:rPr>
        <w:t>经济</w:t>
      </w:r>
      <w:r>
        <w:rPr>
          <w:rFonts w:hint="eastAsia" w:ascii="华文中宋" w:hAnsi="华文中宋" w:eastAsia="华文中宋" w:cs="华文中宋"/>
          <w:b/>
          <w:color w:val="FF0000"/>
          <w:spacing w:val="-34"/>
          <w:w w:val="66"/>
          <w:sz w:val="106"/>
          <w:szCs w:val="106"/>
        </w:rPr>
        <w:t>和信息化局</w:t>
      </w:r>
    </w:p>
    <w:p w14:paraId="6C5F36B4">
      <w:pPr>
        <w:spacing w:line="580" w:lineRule="exact"/>
        <w:ind w:firstLine="160" w:firstLineChars="5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</w:rPr>
        <w:t>门</w:t>
      </w:r>
      <w:r>
        <w:rPr>
          <w:rFonts w:hint="eastAsia" w:ascii="仿宋_GB2312" w:hAnsi="仿宋_GB2312" w:eastAsia="仿宋_GB2312"/>
          <w:sz w:val="32"/>
          <w:lang w:eastAsia="zh-CN"/>
        </w:rPr>
        <w:t>经</w:t>
      </w:r>
      <w:r>
        <w:rPr>
          <w:rFonts w:hint="eastAsia" w:ascii="仿宋_GB2312" w:hAnsi="仿宋_GB2312" w:eastAsia="仿宋_GB2312"/>
          <w:sz w:val="32"/>
        </w:rPr>
        <w:t>信文〔20</w:t>
      </w:r>
      <w:r>
        <w:rPr>
          <w:rFonts w:hint="eastAsia" w:ascii="仿宋_GB2312" w:hAnsi="仿宋_GB2312" w:eastAsia="仿宋_GB2312"/>
          <w:sz w:val="32"/>
          <w:lang w:val="en-US" w:eastAsia="zh-CN"/>
        </w:rPr>
        <w:t>25</w:t>
      </w:r>
      <w:r>
        <w:rPr>
          <w:rFonts w:hint="eastAsia" w:ascii="仿宋_GB2312" w:hAnsi="仿宋_GB2312" w:eastAsia="仿宋_GB2312"/>
          <w:sz w:val="32"/>
        </w:rPr>
        <w:t>〕</w:t>
      </w:r>
      <w:r>
        <w:rPr>
          <w:rFonts w:hint="eastAsia" w:ascii="仿宋_GB2312" w:hAnsi="仿宋_GB2312" w:eastAsia="仿宋_GB2312"/>
          <w:sz w:val="32"/>
          <w:lang w:val="en-US" w:eastAsia="zh-CN"/>
        </w:rPr>
        <w:t>84</w:t>
      </w:r>
      <w:bookmarkStart w:id="0" w:name="_GoBack"/>
      <w:bookmarkEnd w:id="0"/>
      <w:r>
        <w:rPr>
          <w:rFonts w:hint="eastAsia" w:ascii="仿宋_GB2312" w:hAnsi="仿宋_GB2312" w:eastAsia="仿宋_GB2312"/>
          <w:sz w:val="32"/>
        </w:rPr>
        <w:t>号                    签发人：</w:t>
      </w:r>
      <w:r>
        <w:rPr>
          <w:rFonts w:hint="eastAsia" w:ascii="楷体_GB2312" w:hAnsi="楷体_GB2312" w:eastAsia="楷体_GB2312"/>
          <w:sz w:val="32"/>
          <w:lang w:eastAsia="zh-CN"/>
        </w:rPr>
        <w:t>苏文松</w:t>
      </w:r>
    </w:p>
    <w:p w14:paraId="4D1C62CD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24765</wp:posOffset>
                </wp:positionV>
                <wp:extent cx="5717540" cy="1841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7540" cy="1841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0.2pt;margin-top:1.95pt;height:1.45pt;width:450.2pt;z-index:251659264;mso-width-relative:page;mso-height-relative:page;" filled="f" stroked="t" coordsize="21600,21600" o:gfxdata="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Jckz1bU&#10;AAAABQEAAA8AAAAAAAAAAQAgAAAAIgAAAGRycy9kb3ducmV2LnhtbFBLAQIUABQAAAAIAIdO4kAM&#10;zd5W6wEAAOADAAAOAAAAAAAAAAEAIAAAACMBAABkcnMvZTJvRG9jLnhtbFBLBQYAAAAABgAGAFkB&#10;AACABQAAAAA=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</w:p>
    <w:p w14:paraId="28E6A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关于印发《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门头沟区人工智能场景应用促进产业发展引导资金管理办法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》的通知</w:t>
      </w:r>
    </w:p>
    <w:p w14:paraId="631F1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eastAsia="仿宋_GB2312" w:cs="仿宋_GB2312"/>
          <w:sz w:val="32"/>
          <w:szCs w:val="32"/>
        </w:rPr>
      </w:pPr>
    </w:p>
    <w:p w14:paraId="5A776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各有关单位：</w:t>
      </w:r>
    </w:p>
    <w:p w14:paraId="11E63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为贯彻《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国务院关于深入实施“人工智能+”行动的意见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国发〔2025〕11号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，进一步落实市、区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决策部署，支撑全区战略布局，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推动人工智能与经济社会各行业各领域广泛深度融合，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以场景应用促进产业发展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。区经济和信息化局研究制定了《门头沟区人工智能场景应用促进产业发展引导资金管理办法》，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经20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年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月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日区长办公会审议通过，请各相关单位据此执行。</w:t>
      </w:r>
    </w:p>
    <w:p w14:paraId="134D79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473" w:leftChars="304" w:hanging="835" w:hangingChars="261"/>
        <w:textAlignment w:val="auto"/>
        <w:rPr>
          <w:rFonts w:hint="eastAsia" w:ascii="仿宋_GB2312" w:eastAsia="仿宋_GB2312" w:cs="仿宋_GB2312"/>
          <w:sz w:val="32"/>
          <w:szCs w:val="32"/>
        </w:rPr>
      </w:pPr>
    </w:p>
    <w:p w14:paraId="46661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473" w:leftChars="304" w:hanging="835" w:hangingChars="261"/>
        <w:textAlignment w:val="auto"/>
        <w:rPr>
          <w:rFonts w:hint="eastAsia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门头沟区人工智能场景应用促进产业发展引导资金管理办法</w:t>
      </w:r>
    </w:p>
    <w:p w14:paraId="61B6D08B">
      <w:pPr>
        <w:pStyle w:val="2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4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门头沟区经济和信息化局</w:t>
      </w:r>
    </w:p>
    <w:p w14:paraId="493DE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/>
        <w:adjustRightInd/>
        <w:snapToGrid w:val="0"/>
        <w:spacing w:line="540" w:lineRule="exact"/>
        <w:ind w:firstLine="1280" w:firstLineChars="4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0D0764D3">
      <w:pPr>
        <w:spacing w:line="240" w:lineRule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414020</wp:posOffset>
                </wp:positionV>
                <wp:extent cx="5423535" cy="3175"/>
                <wp:effectExtent l="0" t="0" r="0" b="0"/>
                <wp:wrapNone/>
                <wp:docPr id="3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3535" cy="31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flip:y;margin-left:-0.6pt;margin-top:32.6pt;height:0.25pt;width:427.05pt;z-index:251661312;mso-width-relative:page;mso-height-relative:page;" filled="f" stroked="t" coordsize="21600,21600" o:gfxdata="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WE14mdcAAAAIAQAADwAAAAAAAAABACAAAAAiAAAAZHJzL2Rvd25yZXYueG1sUEsBAhQAFAAA&#10;AAgAh07iQD+WNOHwAQAA6AMAAA4AAAAAAAAAAQAgAAAAJg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仿宋_GB2312" w:eastAsia="仿宋_GB2312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12065</wp:posOffset>
                </wp:positionV>
                <wp:extent cx="5410200" cy="635"/>
                <wp:effectExtent l="0" t="0" r="0" b="0"/>
                <wp:wrapNone/>
                <wp:docPr id="2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02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-0.75pt;margin-top:0.95pt;height:0.05pt;width:426pt;z-index:251660288;mso-width-relative:page;mso-height-relative:page;" filled="f" stroked="t" coordsize="21600,21600" o:gfxdata="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2lGmedMAAAAG&#10;AQAADwAAAAAAAAABACAAAAAiAAAAZHJzL2Rvd25yZXYueG1sUEsBAhQAFAAAAAgAh07iQG5Asi7o&#10;AQAA3QMAAA4AAAAAAAAAAQAgAAAAIg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/>
          <w:sz w:val="32"/>
        </w:rPr>
        <w:t>门头沟区</w:t>
      </w:r>
      <w:r>
        <w:rPr>
          <w:rFonts w:hint="eastAsia" w:ascii="仿宋_GB2312" w:hAnsi="仿宋_GB2312" w:eastAsia="仿宋_GB2312"/>
          <w:sz w:val="32"/>
          <w:lang w:eastAsia="zh-CN"/>
        </w:rPr>
        <w:t>经济</w:t>
      </w:r>
      <w:r>
        <w:rPr>
          <w:rFonts w:hint="eastAsia" w:ascii="仿宋_GB2312" w:hAnsi="仿宋_GB2312" w:eastAsia="仿宋_GB2312"/>
          <w:sz w:val="32"/>
        </w:rPr>
        <w:t xml:space="preserve">和信息化局办公室 </w:t>
      </w:r>
      <w:r>
        <w:rPr>
          <w:rFonts w:hint="eastAsia" w:ascii="仿宋_GB2312" w:hAnsi="仿宋_GB2312" w:eastAsia="仿宋_GB2312"/>
          <w:sz w:val="28"/>
        </w:rPr>
        <w:t xml:space="preserve">   </w:t>
      </w:r>
      <w:r>
        <w:rPr>
          <w:rFonts w:hint="eastAsia" w:ascii="仿宋_GB2312" w:hAnsi="仿宋_GB2312" w:eastAsia="仿宋_GB2312"/>
          <w:sz w:val="28"/>
          <w:lang w:val="en-US" w:eastAsia="zh-CN"/>
        </w:rPr>
        <w:t xml:space="preserve">     </w:t>
      </w:r>
      <w:r>
        <w:rPr>
          <w:rFonts w:hint="eastAsia" w:ascii="仿宋_GB2312" w:hAnsi="仿宋_GB2312" w:eastAsia="仿宋_GB2312"/>
          <w:sz w:val="28"/>
        </w:rPr>
        <w:t>20</w:t>
      </w:r>
      <w:r>
        <w:rPr>
          <w:rFonts w:hint="eastAsia" w:ascii="仿宋_GB2312" w:hAnsi="仿宋_GB2312" w:eastAsia="仿宋_GB2312"/>
          <w:sz w:val="28"/>
          <w:lang w:val="en-US" w:eastAsia="zh-CN"/>
        </w:rPr>
        <w:t>25</w:t>
      </w:r>
      <w:r>
        <w:rPr>
          <w:rFonts w:hint="eastAsia" w:ascii="仿宋_GB2312" w:hAnsi="仿宋_GB2312" w:eastAsia="仿宋_GB2312"/>
          <w:sz w:val="28"/>
        </w:rPr>
        <w:t>年</w:t>
      </w:r>
      <w:r>
        <w:rPr>
          <w:rFonts w:hint="eastAsia" w:ascii="仿宋_GB2312" w:hAnsi="仿宋_GB2312" w:eastAsia="仿宋_GB2312"/>
          <w:sz w:val="28"/>
          <w:lang w:val="en-US" w:eastAsia="zh-CN"/>
        </w:rPr>
        <w:t>11</w:t>
      </w:r>
      <w:r>
        <w:rPr>
          <w:rFonts w:hint="eastAsia" w:ascii="仿宋_GB2312" w:hAnsi="仿宋_GB2312" w:eastAsia="仿宋_GB2312"/>
          <w:sz w:val="28"/>
        </w:rPr>
        <w:t>月</w:t>
      </w:r>
      <w:r>
        <w:rPr>
          <w:rFonts w:hint="eastAsia" w:ascii="仿宋_GB2312" w:hAnsi="仿宋_GB2312" w:eastAsia="仿宋_GB2312"/>
          <w:sz w:val="28"/>
          <w:lang w:val="en-US" w:eastAsia="zh-CN"/>
        </w:rPr>
        <w:t>3日</w:t>
      </w:r>
      <w:r>
        <w:rPr>
          <w:rFonts w:hint="eastAsia" w:ascii="仿宋_GB2312" w:hAnsi="仿宋_GB2312" w:eastAsia="仿宋_GB2312"/>
          <w:sz w:val="28"/>
        </w:rPr>
        <w:t>印发</w:t>
      </w:r>
      <w:r>
        <w:rPr>
          <w:rFonts w:hint="eastAsia" w:ascii="仿宋_GB2312" w:hAnsi="仿宋_GB2312" w:eastAsia="仿宋_GB2312"/>
          <w:sz w:val="28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</w:p>
    <w:p w14:paraId="1C038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 w14:paraId="7261D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门头沟区人工智能场景应用促进产业发展引导资金管理办法</w:t>
      </w:r>
    </w:p>
    <w:p w14:paraId="5C9B3F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</w:p>
    <w:p w14:paraId="3F1304D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 xml:space="preserve"> 总则</w:t>
      </w:r>
    </w:p>
    <w:p w14:paraId="0B28375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为贯彻《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国务院关于深入实施“人工智能+”行动的意见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国发〔2025〕11号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，进一步落实市、区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决策部署，支撑全区战略布局，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推动人工智能与经济社会各行业各领域广泛深度融合，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以场景应用促进产业发展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特设立门头沟区人工智能场景应用促进产业发展引导资金（以下简称“引导资金”），根据工作实际，制定本办法。</w:t>
      </w:r>
    </w:p>
    <w:p w14:paraId="7296328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本办法所支持的项目，系指以人工智能为核心技术，旨在赋能城市管理、社会治理、产业发展等领域，实现提质、降本、增效目标的人工智能场景应用项目。</w:t>
      </w:r>
    </w:p>
    <w:p w14:paraId="1BC15AC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引导资金服务本区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三大产业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跃升发展、服务政府治理效能提升、服务企业核心竞争力培育三个核心导向。优先支持核心技术自主创新项目；优先遴选可撬动社会资本协同投入的标杆项目；优先扶持具有复制推广价值、能形成规模化应用效应的引领项目。</w:t>
      </w:r>
    </w:p>
    <w:p w14:paraId="1FB957C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对已获区级财政资金支持，且在核心服务领域、关键实施内容、主要建设目标等方面存在功能交叉重复的项目，不予重复支持。</w:t>
      </w:r>
    </w:p>
    <w:p w14:paraId="27ABB89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 xml:space="preserve"> 项目申报</w:t>
      </w:r>
    </w:p>
    <w:p w14:paraId="3013050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项目分为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场景建设项目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场景创新项目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两种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申报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形式。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同一项目不得同时通过两种形式重复申报，申报材料以区经信局发布的申报通知为准。</w:t>
      </w:r>
    </w:p>
    <w:p w14:paraId="7DE8C43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场景建设项目</w:t>
      </w:r>
    </w:p>
    <w:p w14:paraId="546D1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区经信局分批征集并审定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区属单位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人工智能应用场景需求，统一发布场景榜单。有意向符合本办法支持项目的各场景负责单位，在规定时间内向区经信局提交项目申报书进行评审。每个单位和单个项目资金不超过200万元。</w:t>
      </w:r>
    </w:p>
    <w:p w14:paraId="58A9F0E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场景创新项目</w:t>
      </w:r>
    </w:p>
    <w:p w14:paraId="01605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具备创新人工智能应用、有场景推广需求且对本区人工智能产业发展方向具有示范性、带动性的企业,可对接区内场景负责单位，经场景负责单位同意后,出具合作确认函。企业作为申报主体,将合作确认函与项目申报书一并报送区经信局评审，单个项目区政府资金支持不超过50万元。</w:t>
      </w:r>
    </w:p>
    <w:p w14:paraId="7D114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其中，场景建设项目全额从引导资金列支；场景创新项目引导资金支持 70%(上限50万元)，剩余资金由企业自行配套。</w:t>
      </w:r>
    </w:p>
    <w:p w14:paraId="0261301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 xml:space="preserve"> 项目评审</w:t>
      </w:r>
    </w:p>
    <w:p w14:paraId="54AB69C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区经信局建立专家委员会和引导资金池项目库，组织专家开展技术评审，评审指标主要包括项目必要性、创新性、可行性、技术指标、推广前景等，形成拟支持项目清单。</w:t>
      </w:r>
    </w:p>
    <w:p w14:paraId="119165F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区财政局对具备评审条件的拟支持项目开展预算评审。</w:t>
      </w:r>
    </w:p>
    <w:p w14:paraId="2825C65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区经信局将初步评审意见报区政府审议，审议通过后生效，评审意见由区经信局反馈各项目申报单位。</w:t>
      </w:r>
    </w:p>
    <w:p w14:paraId="700985E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拟开展建设的申报单位需根据专家意见编制项目任务书报区经信局，双方签订任务书，确定项目申报单位为承担单位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明确项目实施计划与资金支出时间。</w:t>
      </w:r>
    </w:p>
    <w:p w14:paraId="121943D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区经信局、区财政局将按照资金支付时序适时保障资金，项目验收前累计拨付金额原则上不超过项目总金额的 70%，剩余资金待验收通过后拨付。管理过程中产生的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方案编制费、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专家评审费、预算评审费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运维费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等相关费用从引导资金列支，并按照年度预算进行安排。</w:t>
      </w:r>
    </w:p>
    <w:p w14:paraId="41A93F7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 xml:space="preserve"> 监督管理</w:t>
      </w:r>
    </w:p>
    <w:p w14:paraId="78789F2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区经信局会同区财政局监督引导资金使用，其中区经信局负责定期检查项目进展及管理制度执行情况，区财政局负责定期检查资金使用情况；获得引导资金支持的承担单位须按国家相关会计制度、财政资金管理要求进行账务处理，接受区财政局的监督检查，并配合区经信局、区财政局开展相关工作。</w:t>
      </w:r>
    </w:p>
    <w:p w14:paraId="3891C8E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对引导资金使用中违反法律法规的行为,依据《中华人民共和国预算法》和《财政违法行为处罚处分条例》等规定进行处理处分。对于弄虚作假骗取资金支持的申报单位,除按以上规定处理外,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区经信局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予以通报,责令其退回已拨付资金并支付相应的利息(按同期人民银行公布的活期存款利率为准进行计算)，三年内不再受理本引导资金的申请。违反法律规定的,移送司法机关依法处理。</w:t>
      </w:r>
    </w:p>
    <w:p w14:paraId="358AB75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 xml:space="preserve"> 项目验收</w:t>
      </w:r>
    </w:p>
    <w:p w14:paraId="3C71AA3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项目完成后，项目承担单位应及时报区经信局，由区经信局组织专家验收，验收内容包括资料完备性、规范性、功能性能安全性、技术指标完成情况等。</w:t>
      </w:r>
    </w:p>
    <w:p w14:paraId="4CC8FC0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验收通过后，区经信局出具同意验收意见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会同区财政局拨付剩余资金，验收材料须在区经信局留档备案。</w:t>
      </w:r>
    </w:p>
    <w:p w14:paraId="0062FAE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项目不能按期完成验收的，承担单位应向区经信局提交书面说明材料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，并明确验收延长期限，延长期限最多不超过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6个月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。未通过验收的项目，承担单位应在3个月内完成整改并再次报区经信局申请验收。</w:t>
      </w:r>
    </w:p>
    <w:p w14:paraId="2F3BA1E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若整改后再次验收仍未通过，区经信局将终止该项目，同时将项目承担单位相关情况纳入信用记录管理，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三年内不再受理本引导资金的申请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经信局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按相关规定收回已拨付的项目剩余资金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5007FF9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项目建设过程中发生方案变更或资金变更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的，视为调整后新项目重新予以申报。</w:t>
      </w:r>
    </w:p>
    <w:p w14:paraId="236DC4D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 xml:space="preserve"> 附则</w:t>
      </w:r>
    </w:p>
    <w:p w14:paraId="5A45D3A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本《办法》自印发之日起试行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，试行期为两年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。试行期间，根据国家和北京市相关政策变动及本区实际情况变化进行调整。</w:t>
      </w:r>
    </w:p>
    <w:p w14:paraId="1B7B33D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本《办法》由区经信局负责解释。</w:t>
      </w:r>
    </w:p>
    <w:p w14:paraId="31C4AEEB">
      <w:pPr>
        <w:spacing w:line="240" w:lineRule="auto"/>
        <w:rPr>
          <w:rFonts w:hint="eastAsia" w:ascii="仿宋_GB2312" w:eastAsia="仿宋_GB2312" w:cs="仿宋_GB2312"/>
          <w:sz w:val="28"/>
          <w:szCs w:val="28"/>
          <w:u w:val="none"/>
          <w:lang w:val="en-US" w:eastAsia="zh-CN"/>
        </w:rPr>
      </w:pPr>
    </w:p>
    <w:sectPr>
      <w:footerReference r:id="rId3" w:type="default"/>
      <w:pgSz w:w="11906" w:h="16838"/>
      <w:pgMar w:top="1440" w:right="1474" w:bottom="1440" w:left="1474" w:header="851" w:footer="992" w:gutter="0"/>
      <w:cols w:space="72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DC1C56-4E04-4630-B914-F7374647AF3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5FC7AD3-BB1E-4F38-A83E-89C49EB7020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17FAD88F-935D-4BF4-A2E0-A0123620FF9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CE552402-3D5D-4B8C-9AE4-B33393D0781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294A98"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200" cy="133350"/>
              <wp:effectExtent l="0" t="0" r="0" b="0"/>
              <wp:wrapNone/>
              <wp:docPr id="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200" cy="133052"/>
                      </a:xfrm>
                      <a:prstGeom prst="rect">
                        <a:avLst/>
                      </a:prstGeom>
                      <a:noFill/>
                      <a:ln w="25400" cap="flat" cmpd="sng">
                        <a:noFill/>
                        <a:prstDash val="solid"/>
                        <a:miter/>
                      </a:ln>
                      <a:effectLst/>
                    </wps:spPr>
                    <wps:txbx>
                      <w:txbxContent>
                        <w:p w14:paraId="3FDCC395">
                          <w:pPr>
                            <w:pStyle w:val="11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0.5pt;width: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GaywzdAAAAADAQAADwAAAAAAAAABACAAAAAiAAAAZHJzL2Rv&#10;d25yZXYueG1sUEsBAhQAFAAAAAgAh07iQOMZvMQJAgAAAgQAAA4AAAAAAAAAAQAgAAAAHwEAAGRy&#10;cy9lMm9Eb2MueG1sUEsFBgAAAAAGAAYAWQEAAJoFAAAAAA==&#10;">
              <v:fill on="f" focussize="0,0"/>
              <v:stroke on="f" weight="2pt" joinstyle="miter"/>
              <v:imagedata o:title=""/>
              <o:lock v:ext="edit" aspectratio="f"/>
              <v:textbox inset="0mm,0mm,0mm,0mm" style="mso-fit-shape-to-text:t;">
                <w:txbxContent>
                  <w:p w14:paraId="3FDCC395">
                    <w:pPr>
                      <w:pStyle w:val="11"/>
                      <w:jc w:val="righ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 w14:paraId="3168FC2D"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FFC66A"/>
    <w:multiLevelType w:val="singleLevel"/>
    <w:tmpl w:val="BAFFC66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7D67DB9"/>
    <w:multiLevelType w:val="singleLevel"/>
    <w:tmpl w:val="C7D67DB9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6EA4885C"/>
    <w:multiLevelType w:val="singleLevel"/>
    <w:tmpl w:val="6EA4885C"/>
    <w:lvl w:ilvl="0" w:tentative="0">
      <w:start w:val="1"/>
      <w:numFmt w:val="chineseCounting"/>
      <w:suff w:val="space"/>
      <w:lvlText w:val="第%1条"/>
      <w:lvlJc w:val="left"/>
      <w:rPr>
        <w:rFonts w:hint="eastAsia" w:ascii="楷体_GB2312" w:hAnsi="楷体_GB2312" w:eastAsia="楷体_GB2312" w:cs="楷体_GB2312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kZGNkMDNlYjkyMmY0YmYyYTM3NGYzN2Y4M2U1NDAifQ=="/>
  </w:docVars>
  <w:rsids>
    <w:rsidRoot w:val="00172A27"/>
    <w:rsid w:val="0002213C"/>
    <w:rsid w:val="00053866"/>
    <w:rsid w:val="000A4A00"/>
    <w:rsid w:val="000E6D05"/>
    <w:rsid w:val="0018250F"/>
    <w:rsid w:val="001E0812"/>
    <w:rsid w:val="00293AD2"/>
    <w:rsid w:val="003271EC"/>
    <w:rsid w:val="0033271A"/>
    <w:rsid w:val="00334114"/>
    <w:rsid w:val="003575CC"/>
    <w:rsid w:val="003668A0"/>
    <w:rsid w:val="003F20CA"/>
    <w:rsid w:val="0042029B"/>
    <w:rsid w:val="00430447"/>
    <w:rsid w:val="00432F2C"/>
    <w:rsid w:val="004826D6"/>
    <w:rsid w:val="00513CEC"/>
    <w:rsid w:val="0055250B"/>
    <w:rsid w:val="00584C0C"/>
    <w:rsid w:val="005A0791"/>
    <w:rsid w:val="005A43E0"/>
    <w:rsid w:val="005C5F47"/>
    <w:rsid w:val="005C6898"/>
    <w:rsid w:val="005E2C45"/>
    <w:rsid w:val="0060681A"/>
    <w:rsid w:val="006B1146"/>
    <w:rsid w:val="006D7B77"/>
    <w:rsid w:val="007214E2"/>
    <w:rsid w:val="00736D2D"/>
    <w:rsid w:val="007606EA"/>
    <w:rsid w:val="007A16B4"/>
    <w:rsid w:val="007C02D3"/>
    <w:rsid w:val="007E23B8"/>
    <w:rsid w:val="007F5AA7"/>
    <w:rsid w:val="00844369"/>
    <w:rsid w:val="008A09E6"/>
    <w:rsid w:val="008B605F"/>
    <w:rsid w:val="008F644A"/>
    <w:rsid w:val="0094148A"/>
    <w:rsid w:val="00944F7A"/>
    <w:rsid w:val="00A24227"/>
    <w:rsid w:val="00A36D67"/>
    <w:rsid w:val="00AE47B0"/>
    <w:rsid w:val="00B136B4"/>
    <w:rsid w:val="00C82F5F"/>
    <w:rsid w:val="00CB65C0"/>
    <w:rsid w:val="00CC0C51"/>
    <w:rsid w:val="00CE5806"/>
    <w:rsid w:val="00CF21B7"/>
    <w:rsid w:val="00CF7FC2"/>
    <w:rsid w:val="00D629CE"/>
    <w:rsid w:val="00D74B3A"/>
    <w:rsid w:val="00D8122D"/>
    <w:rsid w:val="00D81D56"/>
    <w:rsid w:val="00E31C60"/>
    <w:rsid w:val="00E43006"/>
    <w:rsid w:val="00E92758"/>
    <w:rsid w:val="00F0311D"/>
    <w:rsid w:val="00F249EF"/>
    <w:rsid w:val="00F43767"/>
    <w:rsid w:val="00FD3D98"/>
    <w:rsid w:val="00FE4EE3"/>
    <w:rsid w:val="02FC7ACC"/>
    <w:rsid w:val="03610A19"/>
    <w:rsid w:val="03B314CA"/>
    <w:rsid w:val="06C25D83"/>
    <w:rsid w:val="06FE63FA"/>
    <w:rsid w:val="07FF20AC"/>
    <w:rsid w:val="08726608"/>
    <w:rsid w:val="08F543FF"/>
    <w:rsid w:val="0ABE41AE"/>
    <w:rsid w:val="0D033B39"/>
    <w:rsid w:val="0D7C082F"/>
    <w:rsid w:val="0EB8013D"/>
    <w:rsid w:val="0F616C26"/>
    <w:rsid w:val="138F1E24"/>
    <w:rsid w:val="13E946D3"/>
    <w:rsid w:val="141A3217"/>
    <w:rsid w:val="144E4430"/>
    <w:rsid w:val="14787422"/>
    <w:rsid w:val="14D740DA"/>
    <w:rsid w:val="16201D5D"/>
    <w:rsid w:val="16452E96"/>
    <w:rsid w:val="17980700"/>
    <w:rsid w:val="18DD1F44"/>
    <w:rsid w:val="1CB42754"/>
    <w:rsid w:val="1D275529"/>
    <w:rsid w:val="1F125FE4"/>
    <w:rsid w:val="1F3D3E4E"/>
    <w:rsid w:val="1F5F0F90"/>
    <w:rsid w:val="1F9D376B"/>
    <w:rsid w:val="219D2323"/>
    <w:rsid w:val="23A42923"/>
    <w:rsid w:val="26F7797C"/>
    <w:rsid w:val="27DC0B33"/>
    <w:rsid w:val="29165F3A"/>
    <w:rsid w:val="2A020879"/>
    <w:rsid w:val="2BBA3D29"/>
    <w:rsid w:val="2C3324D3"/>
    <w:rsid w:val="2D39E27C"/>
    <w:rsid w:val="2E0575FA"/>
    <w:rsid w:val="2ED8336B"/>
    <w:rsid w:val="2EDDECA9"/>
    <w:rsid w:val="2FB7758C"/>
    <w:rsid w:val="2FFB09BF"/>
    <w:rsid w:val="30162FEC"/>
    <w:rsid w:val="30F52B74"/>
    <w:rsid w:val="31FA3E8C"/>
    <w:rsid w:val="322E689D"/>
    <w:rsid w:val="33123EE0"/>
    <w:rsid w:val="354A4291"/>
    <w:rsid w:val="367F2E01"/>
    <w:rsid w:val="38F20767"/>
    <w:rsid w:val="39003390"/>
    <w:rsid w:val="39EE59F7"/>
    <w:rsid w:val="3A6772AE"/>
    <w:rsid w:val="3A751F6D"/>
    <w:rsid w:val="3AEA42EA"/>
    <w:rsid w:val="3AFE0B96"/>
    <w:rsid w:val="3B614683"/>
    <w:rsid w:val="3DBFA3F3"/>
    <w:rsid w:val="3F7F518C"/>
    <w:rsid w:val="3F9C182D"/>
    <w:rsid w:val="41292700"/>
    <w:rsid w:val="445A0B4D"/>
    <w:rsid w:val="44BF3856"/>
    <w:rsid w:val="455B546D"/>
    <w:rsid w:val="45CA72C0"/>
    <w:rsid w:val="475C411F"/>
    <w:rsid w:val="48FB6C81"/>
    <w:rsid w:val="4A982D61"/>
    <w:rsid w:val="4C1240C8"/>
    <w:rsid w:val="4D16138E"/>
    <w:rsid w:val="4D7B1146"/>
    <w:rsid w:val="4E153E11"/>
    <w:rsid w:val="4F051F32"/>
    <w:rsid w:val="4F456C2E"/>
    <w:rsid w:val="515179F8"/>
    <w:rsid w:val="525B7A2A"/>
    <w:rsid w:val="55CA0E6B"/>
    <w:rsid w:val="57EF07C9"/>
    <w:rsid w:val="58561FD5"/>
    <w:rsid w:val="58BB48B0"/>
    <w:rsid w:val="599966E7"/>
    <w:rsid w:val="5BAC3BAD"/>
    <w:rsid w:val="5BFF4E38"/>
    <w:rsid w:val="5E610F26"/>
    <w:rsid w:val="5E9D2E65"/>
    <w:rsid w:val="5EBF0D40"/>
    <w:rsid w:val="5FB1BDEA"/>
    <w:rsid w:val="5FBD4D4D"/>
    <w:rsid w:val="5FEA7CBE"/>
    <w:rsid w:val="5FFDCE7E"/>
    <w:rsid w:val="6053523D"/>
    <w:rsid w:val="65DC4DE3"/>
    <w:rsid w:val="663649BE"/>
    <w:rsid w:val="66DF9DBF"/>
    <w:rsid w:val="67040DB0"/>
    <w:rsid w:val="673A67EA"/>
    <w:rsid w:val="673D4735"/>
    <w:rsid w:val="675518BC"/>
    <w:rsid w:val="675F0B9E"/>
    <w:rsid w:val="6796587F"/>
    <w:rsid w:val="67BF264F"/>
    <w:rsid w:val="69333769"/>
    <w:rsid w:val="6A0A5232"/>
    <w:rsid w:val="6A360751"/>
    <w:rsid w:val="6BE317A3"/>
    <w:rsid w:val="6DFF557A"/>
    <w:rsid w:val="6E223F5C"/>
    <w:rsid w:val="6FF11763"/>
    <w:rsid w:val="713D5C65"/>
    <w:rsid w:val="71837B36"/>
    <w:rsid w:val="725C76DD"/>
    <w:rsid w:val="72E90686"/>
    <w:rsid w:val="73474EE0"/>
    <w:rsid w:val="743B5F59"/>
    <w:rsid w:val="75491DF9"/>
    <w:rsid w:val="75BFF7ED"/>
    <w:rsid w:val="76F529B8"/>
    <w:rsid w:val="789C64D7"/>
    <w:rsid w:val="799D49EB"/>
    <w:rsid w:val="79B22B9E"/>
    <w:rsid w:val="79DC089A"/>
    <w:rsid w:val="79EFF1A1"/>
    <w:rsid w:val="7AFF06D5"/>
    <w:rsid w:val="7C3F4CDC"/>
    <w:rsid w:val="7CD77105"/>
    <w:rsid w:val="7DBE47CE"/>
    <w:rsid w:val="7DF621BB"/>
    <w:rsid w:val="7DFB2200"/>
    <w:rsid w:val="7DFF81AA"/>
    <w:rsid w:val="7E087AA2"/>
    <w:rsid w:val="7F1FFFC1"/>
    <w:rsid w:val="7F51417E"/>
    <w:rsid w:val="7F744697"/>
    <w:rsid w:val="7FDF9ACB"/>
    <w:rsid w:val="7FF2E7C3"/>
    <w:rsid w:val="7FFFBAC5"/>
    <w:rsid w:val="87FC786C"/>
    <w:rsid w:val="9DFF69DA"/>
    <w:rsid w:val="9FCF4AC1"/>
    <w:rsid w:val="AEBD5811"/>
    <w:rsid w:val="AF93B390"/>
    <w:rsid w:val="AFAF221A"/>
    <w:rsid w:val="B59BF405"/>
    <w:rsid w:val="B6FE78DD"/>
    <w:rsid w:val="BCB1F6D4"/>
    <w:rsid w:val="BF7EA510"/>
    <w:rsid w:val="DB9C27FE"/>
    <w:rsid w:val="DBBF25F4"/>
    <w:rsid w:val="DD8FCF21"/>
    <w:rsid w:val="DFD64743"/>
    <w:rsid w:val="DFD7DBBD"/>
    <w:rsid w:val="E7BB3353"/>
    <w:rsid w:val="F1F72429"/>
    <w:rsid w:val="F35FAC54"/>
    <w:rsid w:val="F3FF4C63"/>
    <w:rsid w:val="F5FB43B1"/>
    <w:rsid w:val="F6BEA61C"/>
    <w:rsid w:val="F6DF00FA"/>
    <w:rsid w:val="F7CE946A"/>
    <w:rsid w:val="F9F76DC7"/>
    <w:rsid w:val="FB2C656D"/>
    <w:rsid w:val="FBF37627"/>
    <w:rsid w:val="FCFF68B3"/>
    <w:rsid w:val="FDE1C0C2"/>
    <w:rsid w:val="FDF719F2"/>
    <w:rsid w:val="FDFFCF3A"/>
    <w:rsid w:val="FEBD3623"/>
    <w:rsid w:val="FFBFE7FB"/>
    <w:rsid w:val="FFDFB85E"/>
    <w:rsid w:val="FFEB34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2pt" color="#FF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17">
    <w:name w:val="Default Paragraph Font"/>
    <w:semiHidden/>
    <w:uiPriority w:val="0"/>
  </w:style>
  <w:style w:type="table" w:default="1" w:styleId="1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20"/>
    <w:qFormat/>
    <w:uiPriority w:val="0"/>
    <w:pPr>
      <w:tabs>
        <w:tab w:val="left" w:pos="3090"/>
      </w:tabs>
      <w:spacing w:line="360" w:lineRule="auto"/>
    </w:pPr>
    <w:rPr>
      <w:rFonts w:ascii="宋体" w:hAnsi="宋体"/>
    </w:rPr>
  </w:style>
  <w:style w:type="paragraph" w:styleId="4">
    <w:name w:val="Normal Indent"/>
    <w:basedOn w:val="1"/>
    <w:unhideWhenUsed/>
    <w:qFormat/>
    <w:uiPriority w:val="0"/>
    <w:pPr>
      <w:ind w:firstLine="420"/>
    </w:pPr>
    <w:rPr>
      <w:rFonts w:eastAsia="宋体"/>
      <w:sz w:val="21"/>
    </w:rPr>
  </w:style>
  <w:style w:type="paragraph" w:styleId="5">
    <w:name w:val="index 5"/>
    <w:basedOn w:val="1"/>
    <w:next w:val="1"/>
    <w:qFormat/>
    <w:uiPriority w:val="0"/>
    <w:pPr>
      <w:suppressAutoHyphens w:val="0"/>
      <w:ind w:left="1680"/>
    </w:pPr>
    <w:rPr>
      <w:rFonts w:ascii="Times New Roman" w:hAnsi="Times New Roman"/>
    </w:rPr>
  </w:style>
  <w:style w:type="paragraph" w:styleId="6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7">
    <w:name w:val="Plain Text"/>
    <w:basedOn w:val="1"/>
    <w:next w:val="8"/>
    <w:qFormat/>
    <w:uiPriority w:val="99"/>
    <w:rPr>
      <w:rFonts w:ascii="宋体" w:hAnsi="Courier New" w:eastAsia="宋体" w:cs="Courier New"/>
      <w:szCs w:val="21"/>
    </w:rPr>
  </w:style>
  <w:style w:type="paragraph" w:styleId="8">
    <w:name w:val="toc 2"/>
    <w:basedOn w:val="1"/>
    <w:next w:val="1"/>
    <w:qFormat/>
    <w:uiPriority w:val="0"/>
    <w:pPr>
      <w:ind w:left="210"/>
      <w:jc w:val="left"/>
    </w:pPr>
    <w:rPr>
      <w:smallCaps/>
      <w:sz w:val="20"/>
      <w:szCs w:val="20"/>
    </w:rPr>
  </w:style>
  <w:style w:type="paragraph" w:styleId="9">
    <w:name w:val="Date"/>
    <w:basedOn w:val="1"/>
    <w:next w:val="1"/>
    <w:link w:val="22"/>
    <w:uiPriority w:val="0"/>
    <w:pPr>
      <w:ind w:left="100" w:leftChars="2500"/>
    </w:pPr>
  </w:style>
  <w:style w:type="paragraph" w:styleId="10">
    <w:name w:val="Balloon Text"/>
    <w:basedOn w:val="1"/>
    <w:semiHidden/>
    <w:uiPriority w:val="0"/>
    <w:rPr>
      <w:sz w:val="18"/>
      <w:szCs w:val="18"/>
    </w:rPr>
  </w:style>
  <w:style w:type="paragraph" w:styleId="11">
    <w:name w:val="footer"/>
    <w:basedOn w:val="1"/>
    <w:link w:val="2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Body Text First Indent 2"/>
    <w:basedOn w:val="6"/>
    <w:unhideWhenUsed/>
    <w:qFormat/>
    <w:uiPriority w:val="99"/>
    <w:pPr>
      <w:ind w:firstLine="420" w:firstLineChars="200"/>
    </w:pPr>
    <w:rPr>
      <w:rFonts w:ascii="Times New Roman" w:hAnsi="Times New Roman" w:eastAsia="宋体"/>
      <w:szCs w:val="20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22"/>
    <w:rPr>
      <w:b/>
    </w:rPr>
  </w:style>
  <w:style w:type="character" w:styleId="19">
    <w:name w:val="page number"/>
    <w:basedOn w:val="17"/>
    <w:uiPriority w:val="99"/>
  </w:style>
  <w:style w:type="character" w:customStyle="1" w:styleId="20">
    <w:name w:val="正文文本 Char"/>
    <w:basedOn w:val="17"/>
    <w:link w:val="2"/>
    <w:uiPriority w:val="0"/>
    <w:rPr>
      <w:rFonts w:ascii="宋体" w:hAnsi="宋体"/>
      <w:kern w:val="2"/>
      <w:sz w:val="21"/>
      <w:szCs w:val="24"/>
    </w:rPr>
  </w:style>
  <w:style w:type="character" w:customStyle="1" w:styleId="21">
    <w:name w:val="标题 1 Char"/>
    <w:basedOn w:val="17"/>
    <w:link w:val="3"/>
    <w:uiPriority w:val="0"/>
    <w:rPr>
      <w:b/>
      <w:bCs/>
      <w:kern w:val="44"/>
      <w:sz w:val="44"/>
      <w:szCs w:val="44"/>
    </w:rPr>
  </w:style>
  <w:style w:type="character" w:customStyle="1" w:styleId="22">
    <w:name w:val="日期 Char"/>
    <w:basedOn w:val="17"/>
    <w:link w:val="9"/>
    <w:uiPriority w:val="0"/>
    <w:rPr>
      <w:kern w:val="2"/>
      <w:sz w:val="21"/>
      <w:szCs w:val="24"/>
    </w:rPr>
  </w:style>
  <w:style w:type="character" w:customStyle="1" w:styleId="23">
    <w:name w:val="页脚 Char"/>
    <w:basedOn w:val="17"/>
    <w:link w:val="11"/>
    <w:uiPriority w:val="99"/>
    <w:rPr>
      <w:kern w:val="2"/>
      <w:sz w:val="18"/>
      <w:szCs w:val="18"/>
    </w:rPr>
  </w:style>
  <w:style w:type="character" w:customStyle="1" w:styleId="24">
    <w:name w:val="页眉 Char"/>
    <w:basedOn w:val="17"/>
    <w:link w:val="12"/>
    <w:uiPriority w:val="0"/>
    <w:rPr>
      <w:kern w:val="2"/>
      <w:sz w:val="18"/>
      <w:szCs w:val="18"/>
    </w:rPr>
  </w:style>
  <w:style w:type="paragraph" w:customStyle="1" w:styleId="25">
    <w:name w:val="目录 11"/>
    <w:next w:val="1"/>
    <w:qFormat/>
    <w:uiPriority w:val="0"/>
    <w:pPr>
      <w:wordWrap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customStyle="1" w:styleId="26">
    <w:name w:val=" Char Char Char1 Char Char Char Char Char Char Char Char Char Char Char Char Char Char Char Char Char Char Char Char Char Char"/>
    <w:basedOn w:val="1"/>
    <w:qFormat/>
    <w:uiPriority w:val="0"/>
    <w:rPr>
      <w:szCs w:val="20"/>
    </w:rPr>
  </w:style>
  <w:style w:type="paragraph" w:customStyle="1" w:styleId="27">
    <w:name w:val="style5"/>
    <w:basedOn w:val="1"/>
    <w:uiPriority w:val="0"/>
    <w:pPr>
      <w:widowControl/>
      <w:spacing w:before="100" w:beforeLines="0" w:beforeAutospacing="1" w:after="100" w:afterLines="0" w:afterAutospacing="1"/>
      <w:jc w:val="center"/>
    </w:pPr>
    <w:rPr>
      <w:rFonts w:ascii="宋体" w:hAnsi="宋体" w:cs="宋体"/>
      <w:color w:val="0000FF"/>
      <w:kern w:val="0"/>
      <w:sz w:val="36"/>
      <w:szCs w:val="36"/>
    </w:rPr>
  </w:style>
  <w:style w:type="paragraph" w:customStyle="1" w:styleId="28">
    <w:name w:val="正文（仿宋）"/>
    <w:basedOn w:val="1"/>
    <w:qFormat/>
    <w:uiPriority w:val="0"/>
    <w:pPr>
      <w:adjustRightInd w:val="0"/>
      <w:snapToGrid w:val="0"/>
      <w:spacing w:line="560" w:lineRule="exact"/>
      <w:ind w:firstLine="1160" w:firstLineChars="200"/>
    </w:pPr>
    <w:rPr>
      <w:rFonts w:ascii="仿宋_GB2312" w:hAnsi="仿宋_GB2312" w:eastAsia="仿宋_GB2312" w:cs="Times New Roman"/>
      <w:sz w:val="32"/>
      <w:szCs w:val="32"/>
    </w:rPr>
  </w:style>
  <w:style w:type="character" w:customStyle="1" w:styleId="29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  <w:style w:type="paragraph" w:customStyle="1" w:styleId="30">
    <w:name w:val="BodyText"/>
    <w:next w:val="1"/>
    <w:qFormat/>
    <w:uiPriority w:val="0"/>
    <w:pPr>
      <w:widowControl w:val="0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2106</Words>
  <Characters>2139</Characters>
  <Lines>17</Lines>
  <Paragraphs>4</Paragraphs>
  <TotalTime>6</TotalTime>
  <ScaleCrop>false</ScaleCrop>
  <LinksUpToDate>false</LinksUpToDate>
  <CharactersWithSpaces>2196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2019-09-20T06:20:00Z</dcterms:created>
  <dc:creator>办公室</dc:creator>
  <cp:lastModifiedBy>Mint1398171869</cp:lastModifiedBy>
  <cp:lastPrinted>2024-08-16T00:39:00Z</cp:lastPrinted>
  <dcterms:modified xsi:type="dcterms:W3CDTF">2025-12-03T06:58:46Z</dcterms:modified>
  <dc:title>北京市门头沟区市政市容委文件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3AEDC70FE1DE46DBA2F1AD1181DABFA4_13</vt:lpwstr>
  </property>
  <property fmtid="{D5CDD505-2E9C-101B-9397-08002B2CF9AE}" pid="4" name="KSOTemplateDocerSaveRecord">
    <vt:lpwstr>eyJoZGlkIjoiMDdmNjUwM2Y1NDNmOWE2YzU2MTgyNGU5OGRlNTRlMDciLCJ1c2VySWQiOiIxNDYxNjAxNCJ9</vt:lpwstr>
  </property>
</Properties>
</file>