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10AB0B">
      <w:pPr>
        <w:keepNext w:val="0"/>
        <w:keepLines w:val="0"/>
        <w:pageBreakBefore w:val="0"/>
        <w:wordWrap/>
        <w:overflowPunct/>
        <w:topLinePunct w:val="0"/>
        <w:autoSpaceDE/>
        <w:autoSpaceDN/>
        <w:bidi w:val="0"/>
        <w:adjustRightInd/>
        <w:snapToGrid/>
        <w:spacing w:line="560" w:lineRule="exact"/>
        <w:ind w:firstLine="0" w:firstLineChars="0"/>
        <w:jc w:val="center"/>
        <w:rPr>
          <w:rFonts w:hint="eastAsia" w:ascii="方正小标宋简体" w:hAnsi="仿宋_GB2312" w:eastAsia="方正小标宋简体" w:cs="仿宋_GB2312"/>
          <w:color w:val="000000" w:themeColor="text1"/>
          <w:sz w:val="44"/>
          <w:szCs w:val="44"/>
          <w:highlight w:val="none"/>
          <w14:textFill>
            <w14:solidFill>
              <w14:schemeClr w14:val="tx1"/>
            </w14:solidFill>
          </w14:textFill>
          <w14:ligatures w14:val="standardContextual"/>
        </w:rPr>
      </w:pPr>
      <w:bookmarkStart w:id="0" w:name="_Toc25782"/>
      <w:bookmarkStart w:id="1" w:name="_Toc21601"/>
      <w:r>
        <w:rPr>
          <w:rFonts w:hint="eastAsia" w:ascii="方正小标宋简体" w:hAnsi="仿宋_GB2312" w:eastAsia="方正小标宋简体" w:cs="仿宋_GB2312"/>
          <w:color w:val="000000" w:themeColor="text1"/>
          <w:sz w:val="44"/>
          <w:szCs w:val="44"/>
          <w:highlight w:val="none"/>
          <w14:textFill>
            <w14:solidFill>
              <w14:schemeClr w14:val="tx1"/>
            </w14:solidFill>
          </w14:textFill>
          <w14:ligatures w14:val="standardContextual"/>
        </w:rPr>
        <w:t>门头沟区深入实施生态立区战略</w:t>
      </w:r>
      <w:bookmarkEnd w:id="0"/>
      <w:bookmarkEnd w:id="1"/>
    </w:p>
    <w:p w14:paraId="11772C1D">
      <w:pPr>
        <w:keepNext w:val="0"/>
        <w:keepLines w:val="0"/>
        <w:pageBreakBefore w:val="0"/>
        <w:wordWrap/>
        <w:overflowPunct/>
        <w:topLinePunct w:val="0"/>
        <w:autoSpaceDE/>
        <w:autoSpaceDN/>
        <w:bidi w:val="0"/>
        <w:adjustRightInd/>
        <w:snapToGrid/>
        <w:spacing w:line="560" w:lineRule="exact"/>
        <w:ind w:firstLine="0" w:firstLineChars="0"/>
        <w:jc w:val="center"/>
        <w:rPr>
          <w:rFonts w:hint="eastAsia" w:ascii="方正小标宋简体" w:hAnsi="仿宋_GB2312" w:eastAsia="方正小标宋简体" w:cs="仿宋_GB2312"/>
          <w:color w:val="000000" w:themeColor="text1"/>
          <w:sz w:val="44"/>
          <w:szCs w:val="44"/>
          <w:highlight w:val="none"/>
          <w14:textFill>
            <w14:solidFill>
              <w14:schemeClr w14:val="tx1"/>
            </w14:solidFill>
          </w14:textFill>
          <w14:ligatures w14:val="standardContextual"/>
        </w:rPr>
      </w:pPr>
      <w:bookmarkStart w:id="2" w:name="_Toc8598"/>
      <w:bookmarkStart w:id="3" w:name="_Toc30099"/>
      <w:r>
        <w:rPr>
          <w:rFonts w:hint="eastAsia" w:ascii="方正小标宋简体" w:hAnsi="仿宋_GB2312" w:eastAsia="方正小标宋简体" w:cs="仿宋_GB2312"/>
          <w:color w:val="000000" w:themeColor="text1"/>
          <w:sz w:val="44"/>
          <w:szCs w:val="44"/>
          <w:highlight w:val="none"/>
          <w14:textFill>
            <w14:solidFill>
              <w14:schemeClr w14:val="tx1"/>
            </w14:solidFill>
          </w14:textFill>
          <w14:ligatures w14:val="standardContextual"/>
        </w:rPr>
        <w:t>加快推进美丽北京先行区建设的行动方案</w:t>
      </w:r>
      <w:bookmarkEnd w:id="2"/>
      <w:bookmarkEnd w:id="3"/>
    </w:p>
    <w:p w14:paraId="2EB71921">
      <w:pPr>
        <w:keepNext w:val="0"/>
        <w:keepLines w:val="0"/>
        <w:pageBreakBefore w:val="0"/>
        <w:wordWrap/>
        <w:overflowPunct/>
        <w:topLinePunct w:val="0"/>
        <w:autoSpaceDE/>
        <w:autoSpaceDN/>
        <w:bidi w:val="0"/>
        <w:adjustRightInd/>
        <w:snapToGrid/>
        <w:spacing w:line="560" w:lineRule="exact"/>
        <w:ind w:firstLine="0" w:firstLineChars="0"/>
        <w:jc w:val="center"/>
        <w:rPr>
          <w:rFonts w:hint="default" w:ascii="楷体" w:hAnsi="楷体" w:eastAsia="楷体" w:cs="楷体"/>
          <w:color w:val="000000" w:themeColor="text1"/>
          <w:sz w:val="32"/>
          <w:szCs w:val="32"/>
          <w:highlight w:val="none"/>
          <w:lang w:val="en-US" w:eastAsia="zh-CN"/>
          <w14:textFill>
            <w14:solidFill>
              <w14:schemeClr w14:val="tx1"/>
            </w14:solidFill>
          </w14:textFill>
          <w14:ligatures w14:val="standardContextual"/>
        </w:rPr>
      </w:pPr>
      <w:r>
        <w:rPr>
          <w:rFonts w:hint="eastAsia" w:ascii="楷体" w:hAnsi="楷体" w:eastAsia="楷体" w:cs="楷体"/>
          <w:color w:val="000000" w:themeColor="text1"/>
          <w:sz w:val="32"/>
          <w:szCs w:val="32"/>
          <w:highlight w:val="none"/>
          <w:lang w:eastAsia="zh-CN"/>
          <w14:textFill>
            <w14:solidFill>
              <w14:schemeClr w14:val="tx1"/>
            </w14:solidFill>
          </w14:textFill>
          <w14:ligatures w14:val="standardContextual"/>
        </w:rPr>
        <w:t>（</w:t>
      </w:r>
      <w:r>
        <w:rPr>
          <w:rFonts w:hint="eastAsia" w:ascii="楷体" w:hAnsi="楷体" w:eastAsia="楷体" w:cs="楷体"/>
          <w:color w:val="000000" w:themeColor="text1"/>
          <w:sz w:val="32"/>
          <w:szCs w:val="32"/>
          <w:highlight w:val="none"/>
          <w:lang w:val="en-US" w:eastAsia="zh-CN"/>
          <w14:textFill>
            <w14:solidFill>
              <w14:schemeClr w14:val="tx1"/>
            </w14:solidFill>
          </w14:textFill>
          <w14:ligatures w14:val="standardContextual"/>
        </w:rPr>
        <w:t>2026-2028年</w:t>
      </w:r>
      <w:r>
        <w:rPr>
          <w:rFonts w:hint="eastAsia" w:ascii="楷体" w:hAnsi="楷体" w:eastAsia="楷体" w:cs="楷体"/>
          <w:color w:val="000000" w:themeColor="text1"/>
          <w:sz w:val="32"/>
          <w:szCs w:val="32"/>
          <w:highlight w:val="none"/>
          <w:lang w:eastAsia="zh-CN"/>
          <w14:textFill>
            <w14:solidFill>
              <w14:schemeClr w14:val="tx1"/>
            </w14:solidFill>
          </w14:textFill>
          <w14:ligatures w14:val="standardContextual"/>
        </w:rPr>
        <w:t>）（征求意见稿</w:t>
      </w:r>
      <w:bookmarkStart w:id="29" w:name="_GoBack"/>
      <w:bookmarkEnd w:id="29"/>
      <w:r>
        <w:rPr>
          <w:rFonts w:hint="eastAsia" w:ascii="楷体" w:hAnsi="楷体" w:eastAsia="楷体" w:cs="楷体"/>
          <w:color w:val="000000" w:themeColor="text1"/>
          <w:sz w:val="32"/>
          <w:szCs w:val="32"/>
          <w:highlight w:val="none"/>
          <w:lang w:eastAsia="zh-CN"/>
          <w14:textFill>
            <w14:solidFill>
              <w14:schemeClr w14:val="tx1"/>
            </w14:solidFill>
          </w14:textFill>
          <w14:ligatures w14:val="standardContextual"/>
        </w:rPr>
        <w:t>）</w:t>
      </w:r>
    </w:p>
    <w:p w14:paraId="2689AAAF">
      <w:pPr>
        <w:keepNext w:val="0"/>
        <w:keepLines w:val="0"/>
        <w:pageBreakBefore w:val="0"/>
        <w:wordWrap/>
        <w:overflowPunct/>
        <w:topLinePunct w:val="0"/>
        <w:autoSpaceDE/>
        <w:autoSpaceDN/>
        <w:bidi w:val="0"/>
        <w:adjustRightInd/>
        <w:snapToGrid/>
        <w:spacing w:line="560" w:lineRule="exact"/>
        <w:ind w:firstLine="640" w:firstLineChars="200"/>
        <w:jc w:val="both"/>
        <w:rPr>
          <w:rFonts w:hint="eastAsia" w:ascii="黑体" w:hAnsi="黑体" w:eastAsia="黑体" w:cs="黑体"/>
          <w:sz w:val="32"/>
          <w:szCs w:val="40"/>
          <w:lang w:eastAsia="zh-CN"/>
        </w:rPr>
      </w:pPr>
    </w:p>
    <w:p w14:paraId="063967B8">
      <w:pPr>
        <w:keepNext w:val="0"/>
        <w:keepLines w:val="0"/>
        <w:pageBreakBefore w:val="0"/>
        <w:wordWrap/>
        <w:overflowPunct/>
        <w:topLinePunct w:val="0"/>
        <w:autoSpaceDE/>
        <w:autoSpaceDN/>
        <w:bidi w:val="0"/>
        <w:adjustRightInd/>
        <w:snapToGrid/>
        <w:spacing w:line="560" w:lineRule="exact"/>
        <w:ind w:firstLine="640" w:firstLineChars="200"/>
        <w:jc w:val="both"/>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为深入贯彻落实《中共北京市委 北京市人民政府关于全面建设美丽北京加快推进人与自然和谐共生的现代化的实施意见》，深度融入美丽北京建设大局，坚定落实“首都西部重点生态保育及区域生态治理协作区”功能定位，深化实施“生态立区”发展战略，统筹生态优先和绿色低碳发展，全面建设人与自然和谐共生的美丽门头沟。现制定如下行动方案。</w:t>
      </w:r>
    </w:p>
    <w:p w14:paraId="77023E4A">
      <w:pPr>
        <w:keepNext w:val="0"/>
        <w:keepLines w:val="0"/>
        <w:pageBreakBefore w:val="0"/>
        <w:wordWrap/>
        <w:overflowPunct/>
        <w:topLinePunct w:val="0"/>
        <w:autoSpaceDE/>
        <w:autoSpaceDN/>
        <w:bidi w:val="0"/>
        <w:adjustRightInd/>
        <w:snapToGrid/>
        <w:spacing w:line="560" w:lineRule="exact"/>
        <w:ind w:firstLine="640" w:firstLineChars="200"/>
        <w:jc w:val="both"/>
        <w:rPr>
          <w:rFonts w:hint="eastAsia" w:ascii="黑体" w:hAnsi="黑体" w:eastAsia="黑体" w:cs="黑体"/>
          <w:sz w:val="32"/>
          <w:szCs w:val="40"/>
          <w:lang w:eastAsia="zh-CN"/>
        </w:rPr>
      </w:pPr>
      <w:r>
        <w:rPr>
          <w:rFonts w:hint="eastAsia" w:ascii="黑体" w:hAnsi="黑体" w:eastAsia="黑体" w:cs="黑体"/>
          <w:sz w:val="32"/>
          <w:szCs w:val="40"/>
          <w:lang w:eastAsia="zh-CN"/>
        </w:rPr>
        <w:t>一、主要目标</w:t>
      </w:r>
    </w:p>
    <w:p w14:paraId="723D43BF">
      <w:pPr>
        <w:keepNext w:val="0"/>
        <w:keepLines w:val="0"/>
        <w:pageBreakBefore w:val="0"/>
        <w:wordWrap/>
        <w:overflowPunct/>
        <w:topLinePunct w:val="0"/>
        <w:autoSpaceDE/>
        <w:autoSpaceDN/>
        <w:bidi w:val="0"/>
        <w:adjustRightInd/>
        <w:snapToGrid/>
        <w:spacing w:line="560" w:lineRule="exact"/>
        <w:ind w:firstLine="640" w:firstLineChars="200"/>
        <w:jc w:val="both"/>
        <w:rPr>
          <w:rFonts w:hint="eastAsia" w:ascii="仿宋_GB2312" w:hAnsi="仿宋_GB2312" w:eastAsia="仿宋_GB2312" w:cs="仿宋_GB2312"/>
          <w:color w:val="000000" w:themeColor="text1"/>
          <w:kern w:val="2"/>
          <w:sz w:val="32"/>
          <w:szCs w:val="32"/>
          <w:highlight w:val="none"/>
          <w:lang w:val="en-US" w:eastAsia="zh-CN" w:bidi="ar"/>
          <w14:textFill>
            <w14:solidFill>
              <w14:schemeClr w14:val="tx1"/>
            </w14:solidFill>
          </w14:textFill>
          <w14:ligatures w14:val="standardContextual"/>
        </w:rPr>
      </w:pPr>
      <w:r>
        <w:rPr>
          <w:rFonts w:hint="eastAsia" w:ascii="仿宋_GB2312" w:hAnsi="仿宋_GB2312" w:eastAsia="仿宋_GB2312" w:cs="仿宋_GB2312"/>
          <w:color w:val="000000" w:themeColor="text1"/>
          <w:kern w:val="2"/>
          <w:sz w:val="32"/>
          <w:szCs w:val="32"/>
          <w:highlight w:val="none"/>
          <w:lang w:val="en-US" w:eastAsia="zh-CN" w:bidi="ar"/>
          <w14:textFill>
            <w14:solidFill>
              <w14:schemeClr w14:val="tx1"/>
            </w14:solidFill>
          </w14:textFill>
          <w14:ligatures w14:val="standardContextual"/>
        </w:rPr>
        <w:t>到2028年，生态环境稳步改善，国土空间开发保护格局不断完善，生态系统持续优化，生态本底更加夯实，生态品质进一步提升，生态治理体系和治理能力现代化水平显著增强，美丽门头沟建设取得积极成效。力争到2035年，生态环境根本改善，碳排放强度稳中有降，国土空间开发保护新格局全面形成，生态系统多样性稳定性持续性显著提升，绿色低碳生产生活方式成为广泛自觉，率先建成美丽北京先行区。</w:t>
      </w:r>
    </w:p>
    <w:p w14:paraId="3B7AF008">
      <w:pPr>
        <w:keepNext w:val="0"/>
        <w:keepLines w:val="0"/>
        <w:pageBreakBefore w:val="0"/>
        <w:wordWrap/>
        <w:overflowPunct/>
        <w:topLinePunct w:val="0"/>
        <w:autoSpaceDE/>
        <w:autoSpaceDN/>
        <w:bidi w:val="0"/>
        <w:adjustRightInd/>
        <w:snapToGrid/>
        <w:spacing w:line="560" w:lineRule="exact"/>
        <w:ind w:firstLine="640" w:firstLineChars="200"/>
        <w:jc w:val="both"/>
        <w:rPr>
          <w:rFonts w:hint="eastAsia" w:ascii="黑体" w:hAnsi="黑体" w:eastAsia="黑体" w:cs="黑体"/>
          <w:sz w:val="32"/>
          <w:szCs w:val="40"/>
          <w:lang w:eastAsia="zh-CN"/>
        </w:rPr>
      </w:pPr>
      <w:r>
        <w:rPr>
          <w:rFonts w:hint="eastAsia" w:ascii="黑体" w:hAnsi="黑体" w:eastAsia="黑体" w:cs="黑体"/>
          <w:sz w:val="32"/>
          <w:szCs w:val="40"/>
          <w:lang w:eastAsia="zh-CN"/>
        </w:rPr>
        <w:t>二、重点任务</w:t>
      </w:r>
    </w:p>
    <w:p w14:paraId="1451F1E3">
      <w:pPr>
        <w:keepNext w:val="0"/>
        <w:keepLines w:val="0"/>
        <w:pageBreakBefore w:val="0"/>
        <w:wordWrap/>
        <w:overflowPunct/>
        <w:topLinePunct w:val="0"/>
        <w:autoSpaceDE/>
        <w:autoSpaceDN/>
        <w:bidi w:val="0"/>
        <w:adjustRightInd/>
        <w:snapToGrid/>
        <w:spacing w:line="560" w:lineRule="exact"/>
        <w:ind w:firstLine="640" w:firstLineChars="200"/>
        <w:jc w:val="both"/>
        <w:rPr>
          <w:rFonts w:hint="eastAsia" w:ascii="楷体" w:hAnsi="楷体" w:eastAsia="楷体" w:cs="楷体"/>
          <w:b w:val="0"/>
          <w:bCs w:val="0"/>
          <w:sz w:val="32"/>
          <w:szCs w:val="40"/>
          <w:lang w:eastAsia="zh-CN"/>
        </w:rPr>
      </w:pPr>
      <w:r>
        <w:rPr>
          <w:rFonts w:hint="eastAsia" w:ascii="楷体" w:hAnsi="楷体" w:eastAsia="楷体" w:cs="楷体"/>
          <w:b w:val="0"/>
          <w:bCs w:val="0"/>
          <w:sz w:val="32"/>
          <w:szCs w:val="40"/>
          <w:lang w:eastAsia="zh-CN"/>
        </w:rPr>
        <w:t>（一）加快补强短板，筑牢生态</w:t>
      </w:r>
      <w:r>
        <w:rPr>
          <w:rFonts w:hint="eastAsia" w:ascii="楷体" w:hAnsi="楷体" w:eastAsia="楷体" w:cs="楷体"/>
          <w:b w:val="0"/>
          <w:bCs w:val="0"/>
          <w:sz w:val="32"/>
          <w:szCs w:val="40"/>
          <w:lang w:val="en-US" w:eastAsia="zh-CN"/>
        </w:rPr>
        <w:t>安全</w:t>
      </w:r>
      <w:r>
        <w:rPr>
          <w:rFonts w:hint="eastAsia" w:ascii="楷体" w:hAnsi="楷体" w:eastAsia="楷体" w:cs="楷体"/>
          <w:b w:val="0"/>
          <w:bCs w:val="0"/>
          <w:sz w:val="32"/>
          <w:szCs w:val="40"/>
          <w:lang w:eastAsia="zh-CN"/>
        </w:rPr>
        <w:t>新本底</w:t>
      </w:r>
    </w:p>
    <w:p w14:paraId="5C3647E0">
      <w:pPr>
        <w:keepNext w:val="0"/>
        <w:keepLines w:val="0"/>
        <w:pageBreakBefore w:val="0"/>
        <w:widowControl w:val="0"/>
        <w:wordWrap/>
        <w:overflowPunct/>
        <w:topLinePunct w:val="0"/>
        <w:autoSpaceDE/>
        <w:autoSpaceDN/>
        <w:bidi w:val="0"/>
        <w:adjustRightInd/>
        <w:snapToGrid/>
        <w:spacing w:line="560" w:lineRule="exact"/>
        <w:ind w:firstLine="643" w:firstLineChars="200"/>
        <w:jc w:val="both"/>
        <w:outlineLvl w:val="2"/>
        <w:rPr>
          <w:rFonts w:hint="eastAsia" w:ascii="仿宋" w:hAnsi="仿宋" w:eastAsia="仿宋" w:cs="仿宋_GB2312"/>
          <w:b/>
          <w:bCs/>
          <w:color w:val="000000" w:themeColor="text1"/>
          <w:kern w:val="2"/>
          <w:sz w:val="32"/>
          <w:szCs w:val="36"/>
          <w:highlight w:val="yellow"/>
          <w:lang w:val="en-US" w:eastAsia="zh-CN" w:bidi="ar-SA"/>
          <w14:textFill>
            <w14:solidFill>
              <w14:schemeClr w14:val="tx1"/>
            </w14:solidFill>
          </w14:textFill>
          <w14:ligatures w14:val="standardContextual"/>
        </w:rPr>
      </w:pPr>
      <w:bookmarkStart w:id="4" w:name="_Toc3950"/>
      <w:bookmarkStart w:id="5" w:name="_Toc180942037"/>
      <w:bookmarkStart w:id="6" w:name="_Toc5383"/>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1.抓牢督察整改落实</w:t>
      </w:r>
    </w:p>
    <w:p w14:paraId="459C5CB2">
      <w:pPr>
        <w:keepNext w:val="0"/>
        <w:keepLines w:val="0"/>
        <w:pageBreakBefore w:val="0"/>
        <w:widowControl w:val="0"/>
        <w:wordWrap/>
        <w:overflowPunct/>
        <w:topLinePunct w:val="0"/>
        <w:autoSpaceDE/>
        <w:autoSpaceDN/>
        <w:bidi w:val="0"/>
        <w:adjustRightInd/>
        <w:snapToGrid/>
        <w:spacing w:line="560" w:lineRule="exact"/>
        <w:ind w:firstLine="704"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坚决落实生态环境保护督察整改要求，以首善标准层层压实整改责任，健全督察反馈问题清单化台账化管理、定期调度统筹、专项督促推进、推动标本兼治等工作机制，坚持举一反三、以点带面，开展督察反馈同类共性问题全面排查梳理，谋划实施一批标准更高、实效更强的堵漏补缺措施。到2028年，高标准完成95%以上的市级督察反馈问题整改，有序推动中央督察发现和反馈问题整改。</w:t>
      </w:r>
    </w:p>
    <w:p w14:paraId="02BAC792">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2.压实环境保护责任</w:t>
      </w:r>
    </w:p>
    <w:p w14:paraId="7AF3E042">
      <w:pPr>
        <w:keepNext w:val="0"/>
        <w:keepLines w:val="0"/>
        <w:pageBreakBefore w:val="0"/>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pP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加强党的全面领导，</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贯彻落实《</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地方党政领导干部生态环境保护责任制规定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（试行）》《关于推动职能部门做好生态环境保护工作的意见》等工作要求，</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严格落实“党政同责、一岗双责”，</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14:ligatures w14:val="standardContextual"/>
        </w:rPr>
        <w:t>强化区委生态文明委总体谋划、统筹协调、整体推进、督促落实的重要作用，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及时研究解决重大问题，总结</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巩固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美丽门头沟建设成效</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按照市级部署，逐步推进</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监测评价</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和</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进程评估</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严格落实工作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成效</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考核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制度，</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按要求</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将</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考核结果作为领导班子和有关领导</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干部综合考核评价、奖惩任免的重要参考。到2028年，基本建立覆盖全面、权责一致、奖惩分明、环环相扣的责任体系。</w:t>
      </w:r>
    </w:p>
    <w:p w14:paraId="1808A782">
      <w:pPr>
        <w:keepNext w:val="0"/>
        <w:keepLines w:val="0"/>
        <w:pageBreakBefore w:val="0"/>
        <w:wordWrap/>
        <w:overflowPunct/>
        <w:topLinePunct w:val="0"/>
        <w:autoSpaceDE/>
        <w:autoSpaceDN/>
        <w:bidi w:val="0"/>
        <w:adjustRightInd/>
        <w:snapToGrid/>
        <w:spacing w:line="560" w:lineRule="exact"/>
        <w:ind w:firstLine="643" w:firstLineChars="200"/>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14:ligatures w14:val="standardContextua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14:ligatures w14:val="standardContextual"/>
        </w:rPr>
        <w:t>3.健全环境治理监管机制</w:t>
      </w:r>
    </w:p>
    <w:p w14:paraId="2F92E04C">
      <w:pPr>
        <w:keepNext w:val="0"/>
        <w:keepLines w:val="0"/>
        <w:pageBreakBefore w:val="0"/>
        <w:wordWrap/>
        <w:overflowPunct/>
        <w:topLinePunct w:val="0"/>
        <w:autoSpaceDE/>
        <w:autoSpaceDN/>
        <w:bidi w:val="0"/>
        <w:adjustRightInd/>
        <w:snapToGrid/>
        <w:spacing w:line="560" w:lineRule="exact"/>
        <w:ind w:firstLine="640" w:firstLineChars="200"/>
        <w:jc w:val="left"/>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14:ligatures w14:val="standardContextual"/>
        </w:rPr>
      </w:pP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14:ligatures w14:val="standardContextual"/>
        </w:rPr>
        <w:t>强化生态保护修复监管制度建设，</w:t>
      </w:r>
      <w:r>
        <w:rPr>
          <w:rFonts w:hint="default"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14:ligatures w14:val="standardContextual"/>
        </w:rPr>
        <w:t>健全“问题发现—响应处置—整改提升”长效机制，</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完善生物多样性保护联席会议机制，健全落实自然资源资产管理制度体系，开展领导干部自然资源资产离任（任中）审计。全面实施排污许可制，统筹推进生态环境损害赔偿，有序推进“生态检察+”机制应用。强化“三监”联动，探索“人工智能+生态保护”新场景，打造“空天地”一体化生态环境监测体系。健全公安部门立案侦查、检察机关法律监督与公益诉讼、法院公正审判、司法普法护航的全链条机制，落实最严格生态环境治理制度。到2028年，</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14:ligatures w14:val="standardContextual"/>
        </w:rPr>
        <w:t>环境治理监管机制</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进一步</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14:ligatures w14:val="standardContextual"/>
        </w:rPr>
        <w:t>健全完善、高效运转</w:t>
      </w:r>
      <w:r>
        <w:rPr>
          <w:rFonts w:hint="eastAsia" w:ascii="仿宋_GB2312" w:hAnsi="仿宋_GB2312" w:eastAsia="仿宋_GB2312" w:cs="仿宋_GB2312"/>
          <w:sz w:val="32"/>
          <w:szCs w:val="32"/>
          <w:highlight w:val="none"/>
          <w:lang w:eastAsia="zh-CN"/>
        </w:rPr>
        <w:t>。</w:t>
      </w:r>
    </w:p>
    <w:p w14:paraId="721FB5B3">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4.</w:t>
      </w:r>
      <w:bookmarkEnd w:id="4"/>
      <w:bookmarkEnd w:id="5"/>
      <w:bookmarkEnd w:id="6"/>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严守生态安全底线</w:t>
      </w:r>
    </w:p>
    <w:p w14:paraId="373E4E06">
      <w:pPr>
        <w:keepNext w:val="0"/>
        <w:keepLines w:val="0"/>
        <w:pageBreakBefore w:val="0"/>
        <w:wordWrap/>
        <w:overflowPunct/>
        <w:topLinePunct w:val="0"/>
        <w:autoSpaceDE/>
        <w:autoSpaceDN/>
        <w:bidi w:val="0"/>
        <w:adjustRightInd/>
        <w:snapToGrid/>
        <w:spacing w:line="560" w:lineRule="exact"/>
        <w:ind w:firstLine="640" w:firstLineChars="200"/>
        <w:jc w:val="both"/>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pP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贯彻总体国家安全观</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kern w:val="2"/>
          <w:sz w:val="32"/>
          <w:szCs w:val="32"/>
          <w:highlight w:val="none"/>
          <w:lang w:val="en-US" w:eastAsia="zh-CN" w:bidi="ar"/>
          <w14:textFill>
            <w14:solidFill>
              <w14:schemeClr w14:val="tx1"/>
            </w14:solidFill>
          </w14:textFill>
          <w14:ligatures w14:val="standardContextual"/>
        </w:rPr>
        <w:t>以资源环境承载能力为硬约束，强化“三区三线”全域管控，完善生态环境分区管控体系，提升分区管控制度效能。严格落实生态保护红线管理制度，守住4200亩永久基本农田红线。城乡建设用地规模控制在70平方公里以内</w:t>
      </w:r>
      <w:r>
        <w:rPr>
          <w:rFonts w:hint="eastAsia" w:ascii="仿宋_GB2312" w:hAnsi="仿宋_GB2312" w:eastAsia="仿宋_GB2312" w:cs="仿宋_GB2312"/>
          <w:color w:val="000000" w:themeColor="text1"/>
          <w:kern w:val="2"/>
          <w:sz w:val="32"/>
          <w:szCs w:val="32"/>
          <w:highlight w:val="none"/>
          <w:vertAlign w:val="superscript"/>
          <w:lang w:val="en-US" w:eastAsia="zh-CN" w:bidi="ar"/>
          <w14:textFill>
            <w14:solidFill>
              <w14:schemeClr w14:val="tx1"/>
            </w14:solidFill>
          </w14:textFill>
          <w14:ligatures w14:val="standardContextual"/>
        </w:rPr>
        <w:footnoteReference w:id="0"/>
      </w:r>
      <w:r>
        <w:rPr>
          <w:rFonts w:hint="eastAsia" w:ascii="仿宋_GB2312" w:hAnsi="仿宋_GB2312" w:eastAsia="仿宋_GB2312" w:cs="仿宋_GB2312"/>
          <w:color w:val="000000" w:themeColor="text1"/>
          <w:kern w:val="2"/>
          <w:sz w:val="32"/>
          <w:szCs w:val="32"/>
          <w:highlight w:val="none"/>
          <w:lang w:val="en-US" w:eastAsia="zh-CN" w:bidi="ar"/>
          <w14:textFill>
            <w14:solidFill>
              <w14:schemeClr w14:val="tx1"/>
            </w14:solidFill>
          </w14:textFill>
          <w14:ligatures w14:val="standardContextual"/>
        </w:rPr>
        <w:t>。严格管控城镇开发边界，推动城镇空间内涵式集约化绿色发展。强化生物安全统筹管理，加强有害生物防治</w:t>
      </w:r>
      <w:r>
        <w:rPr>
          <w:rFonts w:hint="eastAsia" w:ascii="仿宋_GB2312" w:hAnsi="仿宋_GB2312" w:eastAsia="仿宋_GB2312" w:cs="仿宋_GB2312"/>
          <w:color w:val="000000" w:themeColor="text1"/>
          <w:sz w:val="32"/>
          <w:szCs w:val="32"/>
          <w:highlight w:val="none"/>
          <w:lang w:bidi="ar"/>
          <w14:textFill>
            <w14:solidFill>
              <w14:schemeClr w14:val="tx1"/>
            </w14:solidFill>
          </w14:textFill>
          <w14:ligatures w14:val="standardContextual"/>
        </w:rPr>
        <w:t>。全生命周期管控高风险放射源。坚决守住森林防火安全底线</w:t>
      </w:r>
      <w:r>
        <w:rPr>
          <w:rFonts w:hint="eastAsia" w:ascii="仿宋_GB2312" w:hAnsi="仿宋_GB2312" w:eastAsia="仿宋_GB2312" w:cs="仿宋_GB2312"/>
          <w:color w:val="000000" w:themeColor="text1"/>
          <w:sz w:val="32"/>
          <w:szCs w:val="32"/>
          <w:highlight w:val="none"/>
          <w:lang w:eastAsia="zh-CN" w:bidi="ar"/>
          <w14:textFill>
            <w14:solidFill>
              <w14:schemeClr w14:val="tx1"/>
            </w14:solidFill>
          </w14:textFill>
          <w14:ligatures w14:val="standardContextual"/>
        </w:rPr>
        <w:t>。</w:t>
      </w:r>
      <w:bookmarkStart w:id="7" w:name="OLE_LINK7"/>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全面加强环境风险隐患排查，</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及时妥善处置突发环境事件。</w:t>
      </w:r>
      <w:bookmarkEnd w:id="7"/>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2028年，确保生态保护红线生态功能不降低、性质不改变。</w:t>
      </w:r>
    </w:p>
    <w:p w14:paraId="3E140851">
      <w:pPr>
        <w:keepNext w:val="0"/>
        <w:keepLines w:val="0"/>
        <w:pageBreakBefore w:val="0"/>
        <w:wordWrap/>
        <w:overflowPunct/>
        <w:topLinePunct w:val="0"/>
        <w:autoSpaceDE/>
        <w:autoSpaceDN/>
        <w:bidi w:val="0"/>
        <w:adjustRightInd/>
        <w:snapToGrid/>
        <w:spacing w:line="560" w:lineRule="exact"/>
        <w:ind w:firstLine="640"/>
        <w:jc w:val="both"/>
        <w:rPr>
          <w:rFonts w:hint="eastAsia" w:ascii="楷体" w:hAnsi="楷体" w:eastAsia="楷体" w:cs="楷体"/>
          <w:color w:val="000000" w:themeColor="text1"/>
          <w:sz w:val="32"/>
          <w:szCs w:val="32"/>
          <w:highlight w:val="none"/>
          <w:lang w:val="en-US" w:eastAsia="zh-CN"/>
          <w14:textFill>
            <w14:solidFill>
              <w14:schemeClr w14:val="tx1"/>
            </w14:solidFill>
          </w14:textFill>
          <w14:ligatures w14:val="standardContextual"/>
        </w:rPr>
      </w:pPr>
      <w:r>
        <w:rPr>
          <w:rFonts w:hint="eastAsia" w:ascii="楷体" w:hAnsi="楷体" w:eastAsia="楷体" w:cs="楷体"/>
          <w:color w:val="000000" w:themeColor="text1"/>
          <w:sz w:val="32"/>
          <w:szCs w:val="32"/>
          <w:highlight w:val="none"/>
          <w:lang w:val="en-US" w:eastAsia="zh-CN"/>
          <w14:textFill>
            <w14:solidFill>
              <w14:schemeClr w14:val="tx1"/>
            </w14:solidFill>
          </w14:textFill>
          <w14:ligatures w14:val="standardContextual"/>
        </w:rPr>
        <w:t>（二）提升生态品质，擘画宜居生活新图景</w:t>
      </w:r>
    </w:p>
    <w:p w14:paraId="02BF643B">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5.深入打好蓝天保卫战</w:t>
      </w:r>
    </w:p>
    <w:p w14:paraId="07B9CF74">
      <w:pPr>
        <w:keepNext w:val="0"/>
        <w:keepLines w:val="0"/>
        <w:pageBreakBefore w:val="0"/>
        <w:widowControl/>
        <w:wordWrap/>
        <w:overflowPunct/>
        <w:topLinePunct w:val="0"/>
        <w:autoSpaceDE/>
        <w:autoSpaceDN/>
        <w:bidi w:val="0"/>
        <w:adjustRightInd/>
        <w:snapToGrid/>
        <w:spacing w:after="0" w:line="560" w:lineRule="exact"/>
        <w:ind w:firstLine="640" w:firstLineChars="200"/>
        <w:jc w:val="both"/>
        <w:textAlignment w:val="cente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深化“0.1微克”攻坚行动，更加注重源头治理，强化减污降碳协同、多污染物控制协同、区域治理协同，统筹实施结构、工程、管理等减排措施。优化移动源结构，加快新能源车推广应用，推动非道路移动机械新能源化更新替代。深化汽修行业精细化管理和绿色升级，推动餐饮治理提升。以施工工地为重点，聚焦石担路辅线、香杏路、西北环线等重点道路，开展扬尘治理专项行动，严控道路源头扬尘污染、严管道路遗撒，拓展实施镇街大气精细化项目，推动基坑气膜技术落地，努力打造全电工地。精细治理噪声、油烟、异味等群众身边的环境问题。到2027年，PM</w:t>
      </w:r>
      <w:r>
        <w:rPr>
          <w:rFonts w:hint="eastAsia" w:ascii="仿宋_GB2312" w:hAnsi="仿宋_GB2312" w:eastAsia="仿宋_GB2312" w:cs="仿宋_GB2312"/>
          <w:color w:val="000000" w:themeColor="text1"/>
          <w:kern w:val="2"/>
          <w:sz w:val="32"/>
          <w:szCs w:val="32"/>
          <w:highlight w:val="none"/>
          <w:vertAlign w:val="subscript"/>
          <w:lang w:val="en-US" w:eastAsia="zh-CN" w:bidi="ar-SA"/>
          <w14:textFill>
            <w14:solidFill>
              <w14:schemeClr w14:val="tx1"/>
            </w14:solidFill>
          </w14:textFill>
          <w14:ligatures w14:val="standardContextual"/>
        </w:rPr>
        <w:t>2.5</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年均浓度下降到26微克/立方米，基本消除重污染天气。到2028年，空气质量进一步改善，努力实现空气常新、蓝天常在。</w:t>
      </w:r>
    </w:p>
    <w:p w14:paraId="0E70FC7B">
      <w:pPr>
        <w:keepNext w:val="0"/>
        <w:keepLines w:val="0"/>
        <w:pageBreakBefore w:val="0"/>
        <w:widowControl w:val="0"/>
        <w:numPr>
          <w:ilvl w:val="0"/>
          <w:numId w:val="0"/>
        </w:numPr>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r>
        <w:rPr>
          <w:rFonts w:hint="eastAsia" w:ascii="仿宋" w:hAnsi="仿宋" w:eastAsia="仿宋" w:cs="仿宋_GB2312"/>
          <w:b/>
          <w:bCs/>
          <w:color w:val="000000" w:themeColor="text1"/>
          <w:kern w:val="2"/>
          <w:sz w:val="32"/>
          <w:szCs w:val="36"/>
          <w:lang w:val="en-US" w:eastAsia="zh-CN" w:bidi="ar-SA"/>
          <w14:textFill>
            <w14:solidFill>
              <w14:schemeClr w14:val="tx1"/>
            </w14:solidFill>
          </w14:textFill>
          <w14:ligatures w14:val="standardContextual"/>
        </w:rPr>
        <w:t>6.</w:t>
      </w:r>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深入打好碧水保卫战</w:t>
      </w:r>
    </w:p>
    <w:p w14:paraId="38A5879F">
      <w:pPr>
        <w:keepNext w:val="0"/>
        <w:keepLines w:val="0"/>
        <w:pageBreakBefore w:val="0"/>
        <w:widowControl w:val="0"/>
        <w:wordWrap/>
        <w:overflowPunct/>
        <w:topLinePunct w:val="0"/>
        <w:autoSpaceDE/>
        <w:autoSpaceDN/>
        <w:bidi w:val="0"/>
        <w:adjustRightInd/>
        <w:snapToGrid/>
        <w:spacing w:after="0" w:line="560" w:lineRule="exact"/>
        <w:ind w:right="5" w:firstLine="640" w:firstLineChars="200"/>
        <w:jc w:val="both"/>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pPr>
      <w:r>
        <w:rPr>
          <w:rFonts w:hint="eastAsia" w:ascii="仿宋_GB2312" w:hAnsi="仿宋_GB2312" w:eastAsia="仿宋_GB2312" w:cs="仿宋_GB2312"/>
          <w:kern w:val="2"/>
          <w:sz w:val="32"/>
          <w:szCs w:val="32"/>
          <w:highlight w:val="none"/>
          <w:lang w:val="en-US" w:eastAsia="zh-CN" w:bidi="ar-SA"/>
          <w14:ligatures w14:val="standardContextual"/>
        </w:rPr>
        <w:t>加快推进美丽河湖建设，全面落实《北京市永定河保护条例》。</w:t>
      </w:r>
      <w:r>
        <w:rPr>
          <w:rFonts w:hint="eastAsia" w:ascii="仿宋_GB2312" w:hAnsi="仿宋_GB2312" w:eastAsia="仿宋_GB2312" w:cs="仿宋_GB2312"/>
          <w:strike w:val="0"/>
          <w:color w:val="000000" w:themeColor="text1"/>
          <w:kern w:val="2"/>
          <w:sz w:val="32"/>
          <w:szCs w:val="32"/>
          <w:highlight w:val="none"/>
          <w:lang w:val="en-US" w:eastAsia="zh-CN" w:bidi="ar-SA"/>
          <w14:textFill>
            <w14:solidFill>
              <w14:schemeClr w14:val="tx1"/>
            </w14:solidFill>
          </w14:textFill>
          <w14:ligatures w14:val="standardContextual"/>
        </w:rPr>
        <w:t>加大</w:t>
      </w:r>
      <w:r>
        <w:rPr>
          <w:rFonts w:hint="eastAsia" w:ascii="仿宋_GB2312" w:hAnsi="宋体" w:eastAsia="仿宋_GB2312" w:cs="仿宋_GB2312"/>
          <w:b w:val="0"/>
          <w:bCs w:val="0"/>
          <w:color w:val="000000"/>
          <w:kern w:val="0"/>
          <w:sz w:val="32"/>
          <w:szCs w:val="32"/>
          <w:highlight w:val="none"/>
          <w:lang w:val="en-US" w:eastAsia="zh-CN" w:bidi="ar"/>
        </w:rPr>
        <w:t>饮用水水源保护区巡查检查力度，动态清理整治保护区内影响水源安全的环境问题。</w:t>
      </w:r>
      <w:r>
        <w:rPr>
          <w:rFonts w:hint="eastAsia" w:ascii="仿宋_GB2312" w:hAnsi="仿宋_GB2312" w:eastAsia="仿宋_GB2312" w:cs="仿宋_GB2312"/>
          <w:strike w:val="0"/>
          <w:color w:val="000000" w:themeColor="text1"/>
          <w:kern w:val="2"/>
          <w:sz w:val="32"/>
          <w:szCs w:val="32"/>
          <w:highlight w:val="none"/>
          <w:lang w:val="en-US" w:eastAsia="zh-CN" w:bidi="ar-SA"/>
          <w14:textFill>
            <w14:solidFill>
              <w14:schemeClr w14:val="tx1"/>
            </w14:solidFill>
          </w14:textFill>
          <w14:ligatures w14:val="standardContextual"/>
        </w:rPr>
        <w:t>加强</w:t>
      </w:r>
      <w:r>
        <w:rPr>
          <w:rFonts w:hint="eastAsia" w:ascii="仿宋_GB2312" w:hAnsi="仿宋_GB2312" w:eastAsia="仿宋_GB2312" w:cs="仿宋_GB2312"/>
          <w:strike w:val="0"/>
          <w:kern w:val="2"/>
          <w:sz w:val="32"/>
          <w:szCs w:val="32"/>
          <w:highlight w:val="none"/>
          <w:lang w:val="en-US" w:eastAsia="zh-CN" w:bidi="ar-SA"/>
          <w14:ligatures w14:val="standardContextual"/>
        </w:rPr>
        <w:t>城乡污水处理设施能力提升与</w:t>
      </w:r>
      <w:r>
        <w:rPr>
          <w:rFonts w:hint="eastAsia" w:ascii="仿宋_GB2312" w:hAnsi="仿宋_GB2312" w:eastAsia="仿宋_GB2312" w:cs="仿宋_GB2312"/>
          <w:strike w:val="0"/>
          <w:color w:val="000000" w:themeColor="text1"/>
          <w:kern w:val="2"/>
          <w:sz w:val="32"/>
          <w:szCs w:val="32"/>
          <w:highlight w:val="none"/>
          <w:lang w:val="en-US" w:eastAsia="zh-CN" w:bidi="ar-SA"/>
          <w14:textFill>
            <w14:solidFill>
              <w14:schemeClr w14:val="tx1"/>
            </w14:solidFill>
          </w14:textFill>
          <w14:ligatures w14:val="standardContextual"/>
        </w:rPr>
        <w:t>规范化</w:t>
      </w:r>
      <w:r>
        <w:rPr>
          <w:rFonts w:hint="eastAsia" w:ascii="仿宋_GB2312" w:hAnsi="仿宋_GB2312" w:eastAsia="仿宋_GB2312" w:cs="仿宋_GB2312"/>
          <w:strike w:val="0"/>
          <w:kern w:val="2"/>
          <w:sz w:val="32"/>
          <w:szCs w:val="32"/>
          <w:highlight w:val="none"/>
          <w:lang w:val="en-US" w:eastAsia="zh-CN" w:bidi="ar-SA"/>
          <w14:ligatures w14:val="standardContextual"/>
        </w:rPr>
        <w:t>管理</w:t>
      </w:r>
      <w:r>
        <w:rPr>
          <w:rFonts w:hint="eastAsia" w:ascii="仿宋_GB2312" w:hAnsi="仿宋_GB2312" w:eastAsia="仿宋_GB2312" w:cs="仿宋_GB2312"/>
          <w:strike w:val="0"/>
          <w:color w:val="000000" w:themeColor="text1"/>
          <w:kern w:val="2"/>
          <w:sz w:val="32"/>
          <w:szCs w:val="32"/>
          <w:highlight w:val="none"/>
          <w:lang w:val="en-US" w:eastAsia="zh-CN" w:bidi="ar-SA"/>
          <w14:textFill>
            <w14:solidFill>
              <w14:schemeClr w14:val="tx1"/>
            </w14:solidFill>
          </w14:textFill>
          <w14:ligatures w14:val="standardContextual"/>
        </w:rPr>
        <w:t>，</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开展河湖库“清四乱”行动，加快补齐农村污水收集处理设施建设短板，动态消除黑臭水体并形成长效机制。加快老城区和新城排水管网提升工程，研究推进第一再生水厂恢复利用，持续强化重点沟道水质提升，系统解决断面水质超标问题。</w:t>
      </w:r>
      <w:r>
        <w:rPr>
          <w:rFonts w:hint="eastAsia" w:ascii="仿宋_GB2312" w:hAnsi="宋体" w:eastAsia="仿宋_GB2312" w:cs="仿宋_GB2312"/>
          <w:b w:val="0"/>
          <w:bCs w:val="0"/>
          <w:color w:val="000000"/>
          <w:kern w:val="0"/>
          <w:sz w:val="32"/>
          <w:szCs w:val="32"/>
          <w:highlight w:val="none"/>
          <w:lang w:val="en-US" w:eastAsia="zh-CN" w:bidi="ar"/>
        </w:rPr>
        <w:t>持续推进永定河生态补水，深化“百泉复涌”“六水联通”等水生态治理工程，加快推进永定河流域（雁翅镇段）水生态系统修复。</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到2027年，地表水水质优良比例达到市级目标要求，以西峰寺沟为重点，全区稳定消除劣Ⅴ类水体，美丽河湖建成率达到40%。到2028年，全区水环境质量、水生态健康水平进一步改善。</w:t>
      </w:r>
    </w:p>
    <w:p w14:paraId="20609260">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7.深入打好净土保卫战</w:t>
      </w:r>
    </w:p>
    <w:p w14:paraId="65547A61">
      <w:pPr>
        <w:keepNext w:val="0"/>
        <w:keepLines w:val="0"/>
        <w:pageBreakBefore w:val="0"/>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pPr>
      <w:r>
        <w:rPr>
          <w:rFonts w:hint="eastAsia" w:ascii="仿宋_GB2312" w:hAnsi="仿宋_GB2312" w:eastAsia="仿宋_GB2312" w:cs="仿宋_GB2312"/>
          <w:sz w:val="32"/>
          <w:szCs w:val="32"/>
          <w:highlight w:val="none"/>
          <w:lang w:eastAsia="zh-CN"/>
          <w14:ligatures w14:val="standardContextual"/>
        </w:rPr>
        <w:t>强化</w:t>
      </w:r>
      <w:r>
        <w:rPr>
          <w:rFonts w:hint="eastAsia" w:ascii="仿宋_GB2312" w:hAnsi="仿宋_GB2312" w:eastAsia="仿宋_GB2312" w:cs="仿宋_GB2312"/>
          <w:sz w:val="32"/>
          <w:szCs w:val="32"/>
          <w:highlight w:val="none"/>
          <w14:ligatures w14:val="standardContextual"/>
        </w:rPr>
        <w:t>源头防控。</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依法开展建设用地土壤污染风险管控和修复</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实施农用地分类管理，</w:t>
      </w:r>
      <w:r>
        <w:rPr>
          <w:rFonts w:hint="eastAsia" w:ascii="仿宋_GB2312" w:hAnsi="仿宋_GB2312" w:eastAsia="仿宋_GB2312" w:cs="仿宋_GB2312"/>
          <w:color w:val="auto"/>
          <w:sz w:val="32"/>
          <w:szCs w:val="32"/>
          <w:highlight w:val="none"/>
          <w14:ligatures w14:val="standardContextual"/>
        </w:rPr>
        <w:t>防范农业面源污染</w:t>
      </w:r>
      <w:r>
        <w:rPr>
          <w:rFonts w:hint="eastAsia" w:ascii="仿宋_GB2312" w:hAnsi="仿宋_GB2312" w:eastAsia="仿宋_GB2312" w:cs="仿宋_GB2312"/>
          <w:color w:val="auto"/>
          <w:sz w:val="32"/>
          <w:szCs w:val="32"/>
          <w:highlight w:val="none"/>
          <w:lang w:eastAsia="zh-CN"/>
          <w14:ligatures w14:val="standardContextual"/>
        </w:rPr>
        <w:t>，</w:t>
      </w:r>
      <w:r>
        <w:rPr>
          <w:rFonts w:hint="eastAsia" w:ascii="仿宋_GB2312" w:hAnsi="仿宋_GB2312" w:eastAsia="仿宋_GB2312" w:cs="仿宋_GB2312"/>
          <w:color w:val="auto"/>
          <w:sz w:val="32"/>
          <w:szCs w:val="32"/>
          <w:highlight w:val="none"/>
          <w14:ligatures w14:val="standardContextual"/>
        </w:rPr>
        <w:t>提升农用地土壤质量。加强未利用地保护</w:t>
      </w:r>
      <w:r>
        <w:rPr>
          <w:rFonts w:hint="eastAsia" w:ascii="仿宋_GB2312" w:hAnsi="仿宋_GB2312" w:eastAsia="仿宋_GB2312" w:cs="仿宋_GB2312"/>
          <w:b w:val="0"/>
          <w:bCs w:val="0"/>
          <w:color w:val="auto"/>
          <w:sz w:val="32"/>
          <w:szCs w:val="32"/>
          <w:highlight w:val="none"/>
          <w14:ligatures w14:val="standardContextual"/>
        </w:rPr>
        <w:t>。</w:t>
      </w:r>
      <w:r>
        <w:rPr>
          <w:rFonts w:hint="eastAsia" w:ascii="仿宋_GB2312" w:hAnsi="仿宋_GB2312" w:eastAsia="仿宋_GB2312" w:cs="仿宋_GB2312"/>
          <w:b w:val="0"/>
          <w:bCs w:val="0"/>
          <w:color w:val="auto"/>
          <w:sz w:val="32"/>
          <w:szCs w:val="32"/>
          <w:highlight w:val="none"/>
          <w:lang w:eastAsia="zh-CN"/>
          <w14:ligatures w14:val="standardContextual"/>
        </w:rPr>
        <w:t>到</w:t>
      </w:r>
      <w:r>
        <w:rPr>
          <w:rFonts w:hint="eastAsia" w:ascii="仿宋_GB2312" w:hAnsi="仿宋_GB2312" w:eastAsia="仿宋_GB2312" w:cs="仿宋_GB2312"/>
          <w:b w:val="0"/>
          <w:bCs w:val="0"/>
          <w:color w:val="auto"/>
          <w:sz w:val="32"/>
          <w:szCs w:val="32"/>
          <w:highlight w:val="none"/>
          <w:lang w:val="en-US" w:eastAsia="zh-CN"/>
          <w14:ligatures w14:val="standardContextual"/>
        </w:rPr>
        <w:t>2028年，</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建设用地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农用地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土壤环境</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安全得到有效保障</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，土壤环境风险得到全面管控，土壤环境质量保持良好。</w:t>
      </w:r>
    </w:p>
    <w:p w14:paraId="2C6937A1">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8.强化固体废物和新污染物治理</w:t>
      </w:r>
    </w:p>
    <w:p w14:paraId="57D67E50">
      <w:pPr>
        <w:keepNext w:val="0"/>
        <w:keepLines w:val="0"/>
        <w:pageBreakBefore w:val="0"/>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pPr>
      <w:r>
        <w:rPr>
          <w:rFonts w:hint="eastAsia" w:ascii="仿宋_GB2312" w:hAnsi="仿宋_GB2312" w:eastAsia="仿宋_GB2312" w:cs="仿宋_GB2312"/>
          <w:sz w:val="32"/>
          <w:szCs w:val="32"/>
          <w:highlight w:val="none"/>
          <w14:ligatures w14:val="standardContextual"/>
        </w:rPr>
        <w:t>推进“无废城市”建设。</w:t>
      </w:r>
      <w:r>
        <w:rPr>
          <w:rFonts w:hint="eastAsia" w:ascii="仿宋_GB2312" w:hAnsi="仿宋_GB2312" w:eastAsia="仿宋_GB2312" w:cs="仿宋_GB2312"/>
          <w:sz w:val="32"/>
          <w:szCs w:val="32"/>
          <w:highlight w:val="none"/>
          <w:lang w:val="en-US" w:eastAsia="zh-CN"/>
          <w14:ligatures w14:val="standardContextual"/>
        </w:rPr>
        <w:t>实施</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固体废物</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综合治理行动</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强化危险废物环境安全监管</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w:t>
      </w:r>
      <w:r>
        <w:rPr>
          <w:rFonts w:hint="eastAsia" w:ascii="仿宋_GB2312" w:hAnsi="仿宋_GB2312" w:eastAsia="仿宋_GB2312" w:cs="仿宋_GB2312"/>
          <w:sz w:val="32"/>
          <w:szCs w:val="32"/>
          <w:highlight w:val="none"/>
          <w14:ligatures w14:val="standardContextual"/>
        </w:rPr>
        <w:t>加强建筑垃圾</w:t>
      </w:r>
      <w:r>
        <w:rPr>
          <w:rFonts w:hint="eastAsia" w:ascii="仿宋_GB2312" w:hAnsi="仿宋_GB2312" w:eastAsia="仿宋_GB2312" w:cs="仿宋_GB2312"/>
          <w:sz w:val="32"/>
          <w:szCs w:val="32"/>
          <w:highlight w:val="none"/>
          <w:lang w:eastAsia="zh-CN"/>
          <w14:ligatures w14:val="standardContextual"/>
        </w:rPr>
        <w:t>、生活垃圾</w:t>
      </w:r>
      <w:r>
        <w:rPr>
          <w:rFonts w:hint="eastAsia" w:ascii="仿宋_GB2312" w:hAnsi="仿宋_GB2312" w:eastAsia="仿宋_GB2312" w:cs="仿宋_GB2312"/>
          <w:sz w:val="32"/>
          <w:szCs w:val="32"/>
          <w:highlight w:val="none"/>
          <w:lang w:val="en-US" w:eastAsia="zh-CN"/>
          <w14:ligatures w14:val="standardContextual"/>
        </w:rPr>
        <w:t>等</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固体废物全过程管理、</w:t>
      </w:r>
      <w:r>
        <w:rPr>
          <w:rFonts w:hint="eastAsia" w:ascii="仿宋_GB2312" w:hAnsi="仿宋_GB2312" w:eastAsia="仿宋_GB2312" w:cs="仿宋_GB2312"/>
          <w:sz w:val="32"/>
          <w:szCs w:val="32"/>
          <w:highlight w:val="none"/>
          <w:lang w:eastAsia="zh-CN"/>
          <w14:ligatures w14:val="standardContextual"/>
        </w:rPr>
        <w:t>资源化利用</w:t>
      </w:r>
      <w:r>
        <w:rPr>
          <w:rFonts w:hint="eastAsia" w:ascii="仿宋_GB2312" w:hAnsi="仿宋_GB2312" w:eastAsia="仿宋_GB2312" w:cs="仿宋_GB2312"/>
          <w:kern w:val="2"/>
          <w:sz w:val="32"/>
          <w:szCs w:val="32"/>
          <w:highlight w:val="none"/>
          <w:lang w:val="en-US" w:eastAsia="zh-CN" w:bidi="ar-SA"/>
          <w14:ligatures w14:val="standardContextual"/>
        </w:rPr>
        <w:t>，</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推进新污染物协同治理和全生命周期环境风险管控。到202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7</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年，</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力争基本建成“无废城市”，“无废城市”指数达到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86，</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生活垃圾焚烧飞灰基本零填埋。</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到2028年，“无废城市指数”进一步提升</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，新污染物环境风险得到有效管控。</w:t>
      </w:r>
    </w:p>
    <w:p w14:paraId="135EBEAD">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9.巩固生态系统稳定性</w:t>
      </w:r>
    </w:p>
    <w:p w14:paraId="143DB509">
      <w:pPr>
        <w:keepNext w:val="0"/>
        <w:keepLines w:val="0"/>
        <w:pageBreakBefore w:val="0"/>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健全自然保护地体系，巩固深化中国</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山水工程</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建设成果</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完成500公顷以上生态保护修复。</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严格管控</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百花山、灵山、永定河山峡段等</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重要生态空间，加强生态状况综合监测和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保护</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修复</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成效评估。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强化泥石流多发区等重点区域综合整治，因地制宜推进废弃矿山生态修复与综合利用</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。到20</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28</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废弃矿山治理成效稳步提升，生态环境保护修复体系更加完善</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，京西生态屏障更加牢固。</w:t>
      </w:r>
    </w:p>
    <w:p w14:paraId="3136D642">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bookmarkStart w:id="8" w:name="_Toc2095"/>
      <w:bookmarkStart w:id="9" w:name="_Toc25672"/>
      <w:bookmarkStart w:id="10" w:name="_Toc180942048"/>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10.提高生态系统持续性</w:t>
      </w:r>
      <w:bookmarkEnd w:id="8"/>
      <w:bookmarkEnd w:id="9"/>
      <w:bookmarkEnd w:id="10"/>
    </w:p>
    <w:p w14:paraId="4DDEC416">
      <w:pPr>
        <w:keepNext w:val="0"/>
        <w:keepLines w:val="0"/>
        <w:pageBreakBefore w:val="0"/>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坚持扩绿兴绿护绿</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将开展森林健康经营摆在突出位置，着力</w:t>
      </w:r>
      <w:r>
        <w:rPr>
          <w:rFonts w:hint="eastAsia" w:ascii="仿宋_GB2312" w:hAnsi="仿宋_GB2312" w:eastAsia="仿宋_GB2312" w:cs="仿宋_GB2312"/>
          <w:sz w:val="32"/>
          <w:szCs w:val="32"/>
          <w:highlight w:val="none"/>
          <w14:ligatures w14:val="standardContextual"/>
        </w:rPr>
        <w:t>推动林分结构优化</w:t>
      </w:r>
      <w:r>
        <w:rPr>
          <w:rFonts w:hint="eastAsia" w:ascii="仿宋_GB2312" w:hAnsi="仿宋_GB2312" w:eastAsia="仿宋_GB2312" w:cs="仿宋_GB2312"/>
          <w:sz w:val="32"/>
          <w:szCs w:val="32"/>
          <w:highlight w:val="none"/>
          <w:lang w:eastAsia="zh-CN"/>
          <w14:ligatures w14:val="standardContextual"/>
        </w:rPr>
        <w:t>、</w:t>
      </w:r>
      <w:r>
        <w:rPr>
          <w:rFonts w:hint="eastAsia" w:ascii="仿宋_GB2312" w:hAnsi="仿宋_GB2312" w:eastAsia="仿宋_GB2312" w:cs="仿宋_GB2312"/>
          <w:sz w:val="32"/>
          <w:szCs w:val="32"/>
          <w:highlight w:val="none"/>
          <w:lang w:val="en-US" w:eastAsia="zh-CN"/>
          <w14:ligatures w14:val="standardContextual"/>
        </w:rPr>
        <w:t>森林提质增效，实施太行山东北部生态综合治理、京蔚高速绿色通道等绿化工程。</w:t>
      </w:r>
      <w:r>
        <w:rPr>
          <w:rFonts w:hint="eastAsia" w:ascii="仿宋_GB2312" w:hAnsi="仿宋_GB2312" w:eastAsia="仿宋_GB2312" w:cs="仿宋_GB2312"/>
          <w:sz w:val="32"/>
          <w:szCs w:val="32"/>
          <w:highlight w:val="none"/>
          <w14:ligatures w14:val="standardContextual"/>
        </w:rPr>
        <w:t>深入推动以市花月季为</w:t>
      </w:r>
      <w:r>
        <w:rPr>
          <w:rFonts w:hint="eastAsia" w:ascii="仿宋_GB2312" w:hAnsi="仿宋_GB2312" w:eastAsia="仿宋_GB2312" w:cs="仿宋_GB2312"/>
          <w:sz w:val="32"/>
          <w:szCs w:val="32"/>
          <w:highlight w:val="none"/>
          <w:lang w:val="en-US" w:eastAsia="zh-CN"/>
          <w14:ligatures w14:val="standardContextual"/>
        </w:rPr>
        <w:t>主题</w:t>
      </w:r>
      <w:r>
        <w:rPr>
          <w:rFonts w:hint="eastAsia" w:ascii="仿宋_GB2312" w:hAnsi="仿宋_GB2312" w:eastAsia="仿宋_GB2312" w:cs="仿宋_GB2312"/>
          <w:sz w:val="32"/>
          <w:szCs w:val="32"/>
          <w:highlight w:val="none"/>
          <w14:ligatures w14:val="standardContextual"/>
        </w:rPr>
        <w:t>的花园城市示范建设。</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推动全区湿地资源系统保护修复，谋划推进</w:t>
      </w:r>
      <w:r>
        <w:rPr>
          <w:rFonts w:hint="eastAsia" w:ascii="仿宋_GB2312" w:hAnsi="仿宋_GB2312" w:eastAsia="仿宋_GB2312" w:cs="仿宋_GB2312"/>
          <w:sz w:val="32"/>
          <w:szCs w:val="32"/>
          <w:highlight w:val="none"/>
          <w14:ligatures w14:val="standardContextual"/>
        </w:rPr>
        <w:t>永定河</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等</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生态</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工程</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完成登峰揽胜森林步道建设。</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到202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8</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年，建成区绿视率</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、彩化率</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稳定提高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林木蓄积量稳步增长，生态系统质量和碳汇能力进一步提升。</w:t>
      </w:r>
    </w:p>
    <w:p w14:paraId="4C69ED8D">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bookmarkStart w:id="11" w:name="_Toc180942056"/>
      <w:bookmarkStart w:id="12" w:name="_Toc20678"/>
      <w:bookmarkStart w:id="13" w:name="_Toc27868"/>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11.加快打造精品城市</w:t>
      </w:r>
      <w:bookmarkEnd w:id="11"/>
      <w:bookmarkEnd w:id="12"/>
      <w:bookmarkEnd w:id="13"/>
    </w:p>
    <w:p w14:paraId="2FBF5A81">
      <w:pPr>
        <w:keepNext w:val="0"/>
        <w:keepLines w:val="0"/>
        <w:pageBreakBefore w:val="0"/>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pPr>
      <w:r>
        <w:rPr>
          <w:rFonts w:hint="eastAsia" w:ascii="仿宋_GB2312" w:hAnsi="仿宋_GB2312" w:eastAsia="仿宋_GB2312" w:cs="仿宋_GB2312"/>
          <w:strike w:val="0"/>
          <w:sz w:val="32"/>
          <w:szCs w:val="32"/>
          <w:highlight w:val="none"/>
          <w:lang w:eastAsia="zh-CN"/>
          <w14:ligatures w14:val="standardContextual"/>
        </w:rPr>
        <w:t>将低碳节能、生物友好等理念融入城市规划建设和管理，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积极推动基础设施绿色化、环境生态化。</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推广立体绿化模式，引导社区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企业、园区等绿色改造、美丽提升</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持续推进花园式示范街区建设</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统筹永定河右岸沿线存量土地资源利用，借力“两园一河”联动发展战略，推进“几字湾”、永定河半岛等重要滨水节点规划建设，打造永定河滨水魅力空间与</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“城市会客厅”</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全力塑造“京西水岸、魅力山城”特色精品城市。</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到202</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8</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年，城市</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空间品质进一步提升，山水融城、生态宜居更加凸显。</w:t>
      </w:r>
    </w:p>
    <w:p w14:paraId="18786FA6">
      <w:pPr>
        <w:keepNext w:val="0"/>
        <w:keepLines w:val="0"/>
        <w:pageBreakBefore w:val="0"/>
        <w:wordWrap/>
        <w:overflowPunct/>
        <w:topLinePunct w:val="0"/>
        <w:autoSpaceDE/>
        <w:autoSpaceDN/>
        <w:bidi w:val="0"/>
        <w:adjustRightInd/>
        <w:snapToGrid/>
        <w:spacing w:line="560" w:lineRule="exact"/>
        <w:ind w:firstLine="640" w:firstLineChars="200"/>
        <w:rPr>
          <w:rFonts w:hint="eastAsia" w:ascii="楷体" w:hAnsi="楷体" w:eastAsia="楷体" w:cs="楷体"/>
          <w:b w:val="0"/>
          <w:bCs w:val="0"/>
          <w:color w:val="000000" w:themeColor="text1"/>
          <w:sz w:val="32"/>
          <w:szCs w:val="32"/>
          <w:highlight w:val="none"/>
          <w:lang w:eastAsia="zh-CN"/>
          <w14:textFill>
            <w14:solidFill>
              <w14:schemeClr w14:val="tx1"/>
            </w14:solidFill>
          </w14:textFill>
          <w14:ligatures w14:val="standardContextual"/>
        </w:rPr>
      </w:pPr>
      <w:r>
        <w:rPr>
          <w:rFonts w:hint="eastAsia" w:ascii="楷体" w:hAnsi="楷体" w:eastAsia="楷体" w:cs="楷体"/>
          <w:b w:val="0"/>
          <w:bCs w:val="0"/>
          <w:color w:val="000000" w:themeColor="text1"/>
          <w:sz w:val="32"/>
          <w:szCs w:val="32"/>
          <w:highlight w:val="none"/>
          <w:lang w:eastAsia="zh-CN"/>
          <w14:textFill>
            <w14:solidFill>
              <w14:schemeClr w14:val="tx1"/>
            </w14:solidFill>
          </w14:textFill>
          <w14:ligatures w14:val="standardContextual"/>
        </w:rPr>
        <w:t>（三）突出特色引领，</w:t>
      </w:r>
      <w:r>
        <w:rPr>
          <w:rFonts w:hint="eastAsia" w:ascii="楷体" w:hAnsi="楷体" w:eastAsia="楷体" w:cs="楷体"/>
          <w:b w:val="0"/>
          <w:bCs w:val="0"/>
          <w:sz w:val="32"/>
          <w:szCs w:val="32"/>
          <w:lang w:eastAsia="zh-CN"/>
        </w:rPr>
        <w:t>打造</w:t>
      </w:r>
      <w:r>
        <w:rPr>
          <w:rFonts w:hint="eastAsia" w:ascii="楷体" w:hAnsi="楷体" w:eastAsia="楷体" w:cs="楷体"/>
          <w:color w:val="000000" w:themeColor="text1"/>
          <w:sz w:val="32"/>
          <w:szCs w:val="32"/>
          <w:highlight w:val="none"/>
          <w:lang w:val="en-US" w:eastAsia="zh-CN"/>
          <w14:textFill>
            <w14:solidFill>
              <w14:schemeClr w14:val="tx1"/>
            </w14:solidFill>
          </w14:textFill>
          <w14:ligatures w14:val="standardContextual"/>
        </w:rPr>
        <w:t>美丽建设</w:t>
      </w:r>
      <w:r>
        <w:rPr>
          <w:rFonts w:hint="eastAsia" w:ascii="楷体" w:hAnsi="楷体" w:eastAsia="楷体" w:cs="楷体"/>
          <w:b w:val="0"/>
          <w:bCs w:val="0"/>
          <w:sz w:val="32"/>
          <w:szCs w:val="32"/>
          <w:lang w:eastAsia="zh-CN"/>
        </w:rPr>
        <w:t>新样板</w:t>
      </w:r>
    </w:p>
    <w:p w14:paraId="7963A9F9">
      <w:pPr>
        <w:keepNext w:val="0"/>
        <w:keepLines w:val="0"/>
        <w:pageBreakBefore w:val="0"/>
        <w:wordWrap/>
        <w:overflowPunct/>
        <w:topLinePunct w:val="0"/>
        <w:autoSpaceDE/>
        <w:autoSpaceDN/>
        <w:bidi w:val="0"/>
        <w:adjustRightInd/>
        <w:snapToGrid/>
        <w:spacing w:line="560" w:lineRule="exact"/>
        <w:ind w:firstLine="643" w:firstLineChars="200"/>
        <w:rPr>
          <w:rFonts w:hint="default" w:ascii="仿宋" w:hAnsi="仿宋" w:eastAsia="仿宋" w:cs="仿宋"/>
          <w:b/>
          <w:bCs/>
          <w:color w:val="000000" w:themeColor="text1"/>
          <w:sz w:val="32"/>
          <w:szCs w:val="32"/>
          <w:highlight w:val="none"/>
          <w:lang w:val="en-US" w:eastAsia="zh-CN"/>
          <w14:textFill>
            <w14:solidFill>
              <w14:schemeClr w14:val="tx1"/>
            </w14:solidFill>
          </w14:textFill>
          <w14:ligatures w14:val="standardContextual"/>
        </w:rPr>
      </w:pPr>
      <w:bookmarkStart w:id="14" w:name="_Toc180942038"/>
      <w:bookmarkStart w:id="15" w:name="_Toc4811"/>
      <w:bookmarkStart w:id="16" w:name="_Toc7075"/>
      <w:r>
        <w:rPr>
          <w:rFonts w:hint="eastAsia" w:ascii="仿宋" w:hAnsi="仿宋" w:eastAsia="仿宋" w:cs="仿宋"/>
          <w:b/>
          <w:bCs/>
          <w:color w:val="000000" w:themeColor="text1"/>
          <w:sz w:val="32"/>
          <w:szCs w:val="32"/>
          <w:highlight w:val="none"/>
          <w:lang w:val="en-US" w:eastAsia="zh-CN"/>
          <w14:textFill>
            <w14:solidFill>
              <w14:schemeClr w14:val="tx1"/>
            </w14:solidFill>
          </w14:textFill>
          <w14:ligatures w14:val="standardContextual"/>
        </w:rPr>
        <w:t>12.</w:t>
      </w:r>
      <w:bookmarkEnd w:id="14"/>
      <w:bookmarkEnd w:id="15"/>
      <w:bookmarkEnd w:id="16"/>
      <w:r>
        <w:rPr>
          <w:rFonts w:hint="eastAsia" w:ascii="仿宋" w:hAnsi="仿宋" w:eastAsia="仿宋" w:cs="仿宋"/>
          <w:b/>
          <w:bCs/>
          <w:color w:val="000000" w:themeColor="text1"/>
          <w:sz w:val="32"/>
          <w:szCs w:val="32"/>
          <w:highlight w:val="none"/>
          <w:lang w:val="en-US" w:eastAsia="zh-CN"/>
          <w14:textFill>
            <w14:solidFill>
              <w14:schemeClr w14:val="tx1"/>
            </w14:solidFill>
          </w14:textFill>
          <w14:ligatures w14:val="standardContextual"/>
        </w:rPr>
        <w:t>低碳发展“样板”行动</w:t>
      </w:r>
    </w:p>
    <w:p w14:paraId="3C30F16C">
      <w:pPr>
        <w:keepNext w:val="0"/>
        <w:keepLines w:val="0"/>
        <w:pageBreakBefore w:val="0"/>
        <w:widowControl w:val="0"/>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落实碳达峰碳中和要求，构建能耗双控向碳排放双控全面转型新机制。健全节约集约制度，全面强化节能、节水、节地、节材管理，以城市更新推动建筑和市政基础设施绿色节能改造。因地制宜开发利用抽水蓄能，加快推动第五立面光伏规模化、高水平利用。开展零碳园区试点示范，布局智慧能源，推进多元互补、多能耦合智慧区域能源中心建设，推进实施中关村（京西）人工智能科技园能源中心等一批再生水源热泵、太阳能光热耦合供暖项目。到2028年，可再生能源开发利用比重进一步提升，绿色低碳发展取得突破性进展。</w:t>
      </w:r>
    </w:p>
    <w:p w14:paraId="5B80A61A">
      <w:pPr>
        <w:keepNext w:val="0"/>
        <w:keepLines w:val="0"/>
        <w:pageBreakBefore w:val="0"/>
        <w:widowControl w:val="0"/>
        <w:wordWrap/>
        <w:overflowPunct/>
        <w:topLinePunct w:val="0"/>
        <w:autoSpaceDE/>
        <w:autoSpaceDN/>
        <w:bidi w:val="0"/>
        <w:adjustRightInd/>
        <w:snapToGrid/>
        <w:spacing w:after="0" w:line="560" w:lineRule="exact"/>
        <w:ind w:firstLine="643" w:firstLineChars="200"/>
        <w:jc w:val="both"/>
        <w:rPr>
          <w:rFonts w:hint="default" w:ascii="仿宋_GB2312" w:hAnsi="仿宋_GB2312" w:eastAsia="仿宋_GB2312" w:cs="仿宋_GB2312"/>
          <w:b/>
          <w:bCs/>
          <w:color w:val="000000" w:themeColor="text1"/>
          <w:kern w:val="2"/>
          <w:sz w:val="32"/>
          <w:szCs w:val="32"/>
          <w:highlight w:val="none"/>
          <w:lang w:val="en-US" w:eastAsia="zh-CN" w:bidi="ar-SA"/>
          <w14:textFill>
            <w14:solidFill>
              <w14:schemeClr w14:val="tx1"/>
            </w14:solidFill>
          </w14:textFill>
          <w14:ligatures w14:val="standardContextual"/>
        </w:rPr>
      </w:pPr>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13.</w:t>
      </w:r>
      <w:r>
        <w:rPr>
          <w:rFonts w:hint="eastAsia" w:ascii="仿宋_GB2312" w:hAnsi="仿宋_GB2312" w:eastAsia="仿宋_GB2312" w:cs="仿宋_GB2312"/>
          <w:b/>
          <w:bCs/>
          <w:color w:val="000000" w:themeColor="text1"/>
          <w:kern w:val="2"/>
          <w:sz w:val="32"/>
          <w:szCs w:val="32"/>
          <w:highlight w:val="none"/>
          <w:lang w:val="en-US" w:eastAsia="zh-CN" w:bidi="ar-SA"/>
          <w14:textFill>
            <w14:solidFill>
              <w14:schemeClr w14:val="tx1"/>
            </w14:solidFill>
          </w14:textFill>
          <w14:ligatures w14:val="standardContextual"/>
        </w:rPr>
        <w:t>安全韧性“样板”行动</w:t>
      </w:r>
    </w:p>
    <w:p w14:paraId="12CE427E">
      <w:pPr>
        <w:keepNext w:val="0"/>
        <w:keepLines w:val="0"/>
        <w:pageBreakBefore w:val="0"/>
        <w:widowControl w:val="0"/>
        <w:wordWrap/>
        <w:overflowPunct/>
        <w:topLinePunct w:val="0"/>
        <w:autoSpaceDE/>
        <w:autoSpaceDN/>
        <w:bidi w:val="0"/>
        <w:adjustRightInd/>
        <w:snapToGrid/>
        <w:spacing w:after="0" w:line="560" w:lineRule="exact"/>
        <w:ind w:firstLine="640" w:firstLineChars="200"/>
        <w:jc w:val="both"/>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pP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强化地质、气象灾害风险防控，打造气象服务风险减量示范区。健全域防洪排涝体系，推动环山截流等防洪工程建成投用。</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完善永定河流域上下游、跨区域生态环境应急联动机制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14:ligatures w14:val="standardContextual"/>
        </w:rPr>
        <w:t>提升防灾减灾和应急救援能力。深化推进气候适应型城市建设，积极培育气候韧性标杆项目，广泛推进“平急两用”型雨水花园等海绵设施应用。到2028年，建成区海绵城市达标面积比例进一步提升，争创全国多灾种预警试点区和全国综合减灾示范县。</w:t>
      </w:r>
    </w:p>
    <w:p w14:paraId="67C76065">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default"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bookmarkStart w:id="17" w:name="_Toc180942049"/>
      <w:bookmarkStart w:id="18" w:name="_Toc24375"/>
      <w:bookmarkStart w:id="19" w:name="_Toc27127"/>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14.生物多样性保护</w:t>
      </w:r>
      <w:bookmarkEnd w:id="17"/>
      <w:bookmarkEnd w:id="18"/>
      <w:bookmarkEnd w:id="19"/>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“样板”行动</w:t>
      </w:r>
    </w:p>
    <w:p w14:paraId="4407ACD5">
      <w:pPr>
        <w:keepNext w:val="0"/>
        <w:keepLines w:val="0"/>
        <w:pageBreakBefore w:val="0"/>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pP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落实生物多样性保护行动计划，</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积极融入北京建设生物多样性之都大局，加强百花山葡萄等珍稀濒危物种和极小种群保护管理，</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构建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全地域、</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多尺度</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的</w:t>
      </w:r>
      <w:r>
        <w:rPr>
          <w:rFonts w:hint="eastAsia" w:ascii="仿宋_GB2312" w:hAnsi="仿宋_GB2312" w:eastAsia="仿宋_GB2312" w:cs="仿宋_GB2312"/>
          <w:b w:val="0"/>
          <w:bCs w:val="0"/>
          <w:color w:val="auto"/>
          <w:sz w:val="32"/>
          <w:szCs w:val="32"/>
          <w:highlight w:val="none"/>
          <w:lang w:val="en-US" w:eastAsia="zh-CN"/>
          <w14:ligatures w14:val="standardContextual"/>
        </w:rPr>
        <w:t>生物多样性智慧监测体系</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。实施“迎豹回家”工程，推进生态廊道建设与栖息地保护修复。积极申报世界生物圈保护区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。持续推动古树名木及其生境保护修复。</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到2027年，力争成功申报</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世界生物圈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保护区。到2028年，生物多样性保护监测体系健全完善，典型生态系统、重点保护野生动植物及其栖息地得到有效保护。</w:t>
      </w:r>
    </w:p>
    <w:p w14:paraId="0A6A1AEF">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default"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bookmarkStart w:id="20" w:name="_Toc180942055"/>
      <w:bookmarkStart w:id="21" w:name="_Toc18555"/>
      <w:bookmarkStart w:id="22" w:name="_Toc11777"/>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15.诗画乡村</w:t>
      </w:r>
      <w:bookmarkEnd w:id="20"/>
      <w:bookmarkEnd w:id="21"/>
      <w:bookmarkEnd w:id="22"/>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“样板”行动</w:t>
      </w:r>
    </w:p>
    <w:p w14:paraId="2D838682">
      <w:pPr>
        <w:keepNext w:val="0"/>
        <w:keepLines w:val="0"/>
        <w:pageBreakBefore w:val="0"/>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kern w:val="0"/>
          <w:sz w:val="32"/>
          <w:szCs w:val="32"/>
          <w:highlight w:val="none"/>
          <w:lang w:bidi="ar"/>
          <w14:textFill>
            <w14:solidFill>
              <w14:schemeClr w14:val="tx1"/>
            </w14:solidFill>
          </w14:textFill>
          <w14:ligatures w14:val="standardContextual"/>
        </w:rPr>
      </w:pP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深入实施“百千工程”，高质量实施农村人居环境整治提升行动，</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强化农村环境设施建设，科学推进农村地区绿化美化彩化，加强传统村落保护利用和乡村风貌引导，渐进式打造“一村一韵”特色风貌。</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试点推广农宅光伏发电、分布式能源。</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深化“无废乡村”建设，</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推进农业投入品减量增效</w:t>
      </w:r>
      <w:r>
        <w:rPr>
          <w:rFonts w:hint="eastAsia" w:ascii="仿宋_GB2312" w:hAnsi="仿宋_GB2312" w:eastAsia="仿宋_GB2312" w:cs="仿宋_GB2312"/>
          <w:color w:val="000000" w:themeColor="text1"/>
          <w:kern w:val="0"/>
          <w:sz w:val="32"/>
          <w:szCs w:val="32"/>
          <w:highlight w:val="none"/>
          <w:lang w:bidi="ar"/>
          <w14:textFill>
            <w14:solidFill>
              <w14:schemeClr w14:val="tx1"/>
            </w14:solidFill>
          </w14:textFill>
          <w14:ligatures w14:val="standardContextual"/>
        </w:rPr>
        <w:t>。到202</w:t>
      </w:r>
      <w:r>
        <w:rPr>
          <w:rFonts w:hint="eastAsia" w:ascii="仿宋_GB2312" w:hAnsi="仿宋_GB2312" w:eastAsia="仿宋_GB2312" w:cs="仿宋_GB2312"/>
          <w:color w:val="000000" w:themeColor="text1"/>
          <w:kern w:val="0"/>
          <w:sz w:val="32"/>
          <w:szCs w:val="32"/>
          <w:highlight w:val="none"/>
          <w:lang w:val="en-US" w:eastAsia="zh-CN" w:bidi="ar"/>
          <w14:textFill>
            <w14:solidFill>
              <w14:schemeClr w14:val="tx1"/>
            </w14:solidFill>
          </w14:textFill>
          <w14:ligatures w14:val="standardContextual"/>
        </w:rPr>
        <w:t>8</w:t>
      </w:r>
      <w:r>
        <w:rPr>
          <w:rFonts w:hint="eastAsia" w:ascii="仿宋_GB2312" w:hAnsi="仿宋_GB2312" w:eastAsia="仿宋_GB2312" w:cs="仿宋_GB2312"/>
          <w:color w:val="000000" w:themeColor="text1"/>
          <w:kern w:val="0"/>
          <w:sz w:val="32"/>
          <w:szCs w:val="32"/>
          <w:highlight w:val="none"/>
          <w:lang w:bidi="ar"/>
          <w14:textFill>
            <w14:solidFill>
              <w14:schemeClr w14:val="tx1"/>
            </w14:solidFill>
          </w14:textFill>
          <w14:ligatures w14:val="standardContextual"/>
        </w:rPr>
        <w:t>年，打造30个辨识度高的景村融合示范村。</w:t>
      </w:r>
    </w:p>
    <w:p w14:paraId="2843D024">
      <w:pPr>
        <w:keepNext w:val="0"/>
        <w:keepLines w:val="0"/>
        <w:pageBreakBefore w:val="0"/>
        <w:wordWrap/>
        <w:overflowPunct/>
        <w:topLinePunct w:val="0"/>
        <w:autoSpaceDE/>
        <w:autoSpaceDN/>
        <w:bidi w:val="0"/>
        <w:adjustRightInd/>
        <w:snapToGrid/>
        <w:spacing w:line="560" w:lineRule="exact"/>
        <w:ind w:firstLine="640"/>
        <w:jc w:val="both"/>
        <w:rPr>
          <w:rFonts w:hint="eastAsia" w:ascii="楷体" w:hAnsi="楷体" w:eastAsia="楷体" w:cs="楷体"/>
          <w:color w:val="000000" w:themeColor="text1"/>
          <w:sz w:val="32"/>
          <w:szCs w:val="32"/>
          <w:highlight w:val="none"/>
          <w:lang w:val="en-US" w:eastAsia="zh-CN"/>
          <w14:textFill>
            <w14:solidFill>
              <w14:schemeClr w14:val="tx1"/>
            </w14:solidFill>
          </w14:textFill>
          <w14:ligatures w14:val="standardContextual"/>
        </w:rPr>
      </w:pPr>
      <w:r>
        <w:rPr>
          <w:rFonts w:hint="eastAsia" w:ascii="楷体" w:hAnsi="楷体" w:eastAsia="楷体" w:cs="楷体"/>
          <w:color w:val="000000" w:themeColor="text1"/>
          <w:sz w:val="32"/>
          <w:szCs w:val="32"/>
          <w:highlight w:val="none"/>
          <w:lang w:val="en-US" w:eastAsia="zh-CN"/>
          <w14:textFill>
            <w14:solidFill>
              <w14:schemeClr w14:val="tx1"/>
            </w14:solidFill>
          </w14:textFill>
          <w14:ligatures w14:val="standardContextual"/>
        </w:rPr>
        <w:t>（四）坚持改革创新，拓展绿色发展新路径</w:t>
      </w:r>
    </w:p>
    <w:p w14:paraId="24C120DD">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default"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16.强化导向机制建设</w:t>
      </w:r>
    </w:p>
    <w:p w14:paraId="63CDF0A4">
      <w:pPr>
        <w:keepNext w:val="0"/>
        <w:keepLines w:val="0"/>
        <w:pageBreakBefore w:val="0"/>
        <w:wordWrap/>
        <w:overflowPunct/>
        <w:topLinePunct w:val="0"/>
        <w:autoSpaceDE/>
        <w:autoSpaceDN/>
        <w:bidi w:val="0"/>
        <w:adjustRightInd/>
        <w:snapToGrid/>
        <w:spacing w:line="560" w:lineRule="exact"/>
        <w:ind w:firstLine="640" w:firstLineChars="200"/>
        <w:jc w:val="both"/>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健全以GEP为导向的生态立区战略统筹推进机制，进一步深化GDP和GEP同部署、双增长工作体系。强化GEP在规划编制中的政策引领作用，拓展GEP在进决策、进考核、进补偿等方面的成果应用，创新绿色奖补政策，完善生态系统调节服务价值（GEP-R）补偿应用体系，优化生态文明建设领域财政资源配置，加快建设GEP巩固提升</w:t>
      </w:r>
      <w:r>
        <w:rPr>
          <w:rFonts w:hint="eastAsia" w:ascii="仿宋_GB2312" w:hAnsi="仿宋_GB2312" w:eastAsia="仿宋_GB2312" w:cs="仿宋_GB2312"/>
          <w:b w:val="0"/>
          <w:bCs w:val="0"/>
          <w:sz w:val="32"/>
          <w:szCs w:val="32"/>
          <w:highlight w:val="none"/>
          <w:lang w:val="en-US" w:eastAsia="zh-CN"/>
        </w:rPr>
        <w:t>项目库，</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推动生态保护投入与GEP-R增长形成良性循环。到2028年，生态系统“投入—增值—反哺”互馈机制基本建成，GEP-R稳中有升。</w:t>
      </w:r>
    </w:p>
    <w:p w14:paraId="4F7F9F17">
      <w:pPr>
        <w:keepNext w:val="0"/>
        <w:keepLines w:val="0"/>
        <w:pageBreakBefore w:val="0"/>
        <w:wordWrap/>
        <w:overflowPunct/>
        <w:topLinePunct w:val="0"/>
        <w:autoSpaceDE/>
        <w:autoSpaceDN/>
        <w:bidi w:val="0"/>
        <w:adjustRightInd/>
        <w:snapToGrid/>
        <w:spacing w:line="560" w:lineRule="exact"/>
        <w:ind w:firstLine="643" w:firstLineChars="200"/>
        <w:jc w:val="both"/>
        <w:rPr>
          <w:rFonts w:hint="default" w:ascii="仿宋_GB2312" w:hAnsi="仿宋_GB2312" w:eastAsia="仿宋_GB2312" w:cs="仿宋_GB2312"/>
          <w:b/>
          <w:bCs/>
          <w:color w:val="000000" w:themeColor="text1"/>
          <w:sz w:val="32"/>
          <w:szCs w:val="32"/>
          <w:highlight w:val="none"/>
          <w:lang w:val="en-US" w:eastAsia="zh-CN"/>
          <w14:textFill>
            <w14:solidFill>
              <w14:schemeClr w14:val="tx1"/>
            </w14:solidFill>
          </w14:textFill>
          <w14:ligatures w14:val="standardContextua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14:ligatures w14:val="standardContextual"/>
        </w:rPr>
        <w:t>17.巩固VEP试点成效</w:t>
      </w:r>
    </w:p>
    <w:p w14:paraId="57668839">
      <w:pPr>
        <w:keepNext w:val="0"/>
        <w:keepLines w:val="0"/>
        <w:pageBreakBefore w:val="0"/>
        <w:wordWrap/>
        <w:overflowPunct/>
        <w:topLinePunct w:val="0"/>
        <w:autoSpaceDE/>
        <w:autoSpaceDN/>
        <w:bidi w:val="0"/>
        <w:adjustRightInd/>
        <w:snapToGrid/>
        <w:spacing w:line="560" w:lineRule="exact"/>
        <w:ind w:firstLine="640" w:firstLineChars="200"/>
        <w:jc w:val="left"/>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pPr>
      <w:r>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14:ligatures w14:val="standardContextual"/>
        </w:rPr>
        <w:t>提速特定地域单元生态产品价值评估及市场化应用，推动生态环境作为要素参与产业投入和收益分配</w:t>
      </w:r>
      <w:r>
        <w:rPr>
          <w:rFonts w:hint="eastAsia" w:ascii="仿宋_GB2312" w:hAnsi="仿宋_GB2312" w:eastAsia="仿宋_GB2312" w:cs="仿宋_GB2312"/>
          <w:b w:val="0"/>
          <w:bCs w:val="0"/>
          <w:strike w:val="0"/>
          <w:color w:val="000000" w:themeColor="text1"/>
          <w:kern w:val="2"/>
          <w:sz w:val="32"/>
          <w:szCs w:val="32"/>
          <w:highlight w:val="none"/>
          <w:lang w:val="en-US" w:eastAsia="zh-CN" w:bidi="ar-SA"/>
          <w14:textFill>
            <w14:solidFill>
              <w14:schemeClr w14:val="tx1"/>
            </w14:solidFill>
          </w14:textFill>
          <w14:ligatures w14:val="standardContextual"/>
        </w:rPr>
        <w:t>，将生态环境的外部正效益内部化</w:t>
      </w:r>
      <w:r>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14:ligatures w14:val="standardContextual"/>
        </w:rPr>
        <w:t>。推动京西古道沉浸式生态小镇项目1号地加快建设，</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实现重点业态试运营。</w:t>
      </w:r>
      <w:r>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14:ligatures w14:val="standardContextual"/>
        </w:rPr>
        <w:t>在北京灵岳寺生态沉香文化园试点VEP模式，探索生态清洁小流域价值转化路径。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到2027年，</w:t>
      </w:r>
      <w:r>
        <w:rPr>
          <w:rFonts w:hint="eastAsia" w:ascii="仿宋_GB2312" w:hAnsi="仿宋_GB2312" w:eastAsia="仿宋_GB2312" w:cs="仿宋_GB2312"/>
          <w:b w:val="0"/>
          <w:bCs w:val="0"/>
          <w:color w:val="000000" w:themeColor="text1"/>
          <w:kern w:val="2"/>
          <w:sz w:val="32"/>
          <w:szCs w:val="32"/>
          <w:highlight w:val="none"/>
          <w:lang w:val="en-US" w:eastAsia="zh-CN" w:bidi="ar-SA"/>
          <w14:textFill>
            <w14:solidFill>
              <w14:schemeClr w14:val="tx1"/>
            </w14:solidFill>
          </w14:textFill>
          <w14:ligatures w14:val="standardContextual"/>
        </w:rPr>
        <w:t>灵岳寺生态沉香文化园项目全面开工。到2028年，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京西古道沉浸式生态小镇项目2、3号地全面建成，灵岳寺生态沉香文化园项目全面建成正式运营。“两园一河”项目按照VEP逻辑逐步实现有序建设。</w:t>
      </w:r>
    </w:p>
    <w:p w14:paraId="12F62984">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bookmarkStart w:id="23" w:name="_Toc2009"/>
      <w:bookmarkStart w:id="24" w:name="_Toc22963"/>
      <w:bookmarkStart w:id="25" w:name="_Toc180942057"/>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18.</w:t>
      </w:r>
      <w:bookmarkEnd w:id="23"/>
      <w:bookmarkEnd w:id="24"/>
      <w:bookmarkEnd w:id="25"/>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14:ligatures w14:val="standardContextual"/>
        </w:rPr>
        <w:t>深化</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14:ligatures w14:val="standardContextual"/>
        </w:rPr>
        <w:t>“两山”转化</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14:ligatures w14:val="standardContextual"/>
        </w:rPr>
        <w:t>探索</w:t>
      </w:r>
    </w:p>
    <w:p w14:paraId="5877A535">
      <w:pPr>
        <w:keepNext w:val="0"/>
        <w:keepLines w:val="0"/>
        <w:pageBreakBefore w:val="0"/>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pPr>
      <w:r>
        <w:rPr>
          <w:rFonts w:hint="eastAsia" w:ascii="仿宋_GB2312" w:hAnsi="仿宋_GB2312" w:eastAsia="仿宋_GB2312" w:cs="仿宋_GB2312"/>
          <w:sz w:val="32"/>
          <w:szCs w:val="32"/>
          <w:highlight w:val="none"/>
          <w:lang w:val="en-US" w:eastAsia="zh-CN"/>
          <w14:ligatures w14:val="standardContextual"/>
        </w:rPr>
        <w:t>在严守生态保护底线的前提下，立足生态资源禀赋，依托区位优势，锚定市场核心需求，充分释放政策集成叠加效应，健全完善跨部门协同联动的生态产业发展保障机制，持续强化政策精准解读、审批流程优化、市场科学引导、金融多元支持等“一站式”服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积极拓展</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生态产品价值</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转化路径，</w:t>
      </w:r>
      <w:r>
        <w:rPr>
          <w:rFonts w:hint="eastAsia" w:ascii="仿宋_GB2312" w:hAnsi="仿宋_GB2312" w:eastAsia="仿宋_GB2312" w:cs="仿宋_GB2312"/>
          <w:b w:val="0"/>
          <w:bCs w:val="0"/>
          <w:sz w:val="32"/>
          <w:szCs w:val="32"/>
          <w:highlight w:val="none"/>
        </w:rPr>
        <w:t>加大“京西福地门头沟”品牌塑造和传播推广力度</w:t>
      </w:r>
      <w:r>
        <w:rPr>
          <w:rFonts w:hint="eastAsia" w:ascii="仿宋_GB2312" w:hAnsi="仿宋_GB2312" w:eastAsia="仿宋_GB2312" w:cs="仿宋_GB2312"/>
          <w:b w:val="0"/>
          <w:bCs w:val="0"/>
          <w:sz w:val="32"/>
          <w:szCs w:val="32"/>
          <w:highlight w:val="none"/>
          <w:lang w:eastAsia="zh-CN"/>
        </w:rPr>
        <w:t>，</w:t>
      </w:r>
      <w:r>
        <w:rPr>
          <w:rFonts w:hint="eastAsia" w:ascii="仿宋_GB2312" w:hAnsi="仿宋_GB2312" w:eastAsia="仿宋_GB2312" w:cs="仿宋_GB2312"/>
          <w:b w:val="0"/>
          <w:bCs w:val="0"/>
          <w:sz w:val="32"/>
          <w:szCs w:val="32"/>
          <w:highlight w:val="none"/>
        </w:rPr>
        <w:t>以“两寺一峰”联动为牵引，</w:t>
      </w:r>
      <w:r>
        <w:rPr>
          <w:rFonts w:hint="eastAsia" w:ascii="仿宋_GB2312" w:hAnsi="仿宋_GB2312" w:eastAsia="仿宋_GB2312" w:cs="仿宋_GB2312"/>
          <w:b w:val="0"/>
          <w:bCs w:val="0"/>
          <w:sz w:val="32"/>
          <w:szCs w:val="32"/>
          <w:highlight w:val="none"/>
          <w:lang w:eastAsia="zh-CN"/>
        </w:rPr>
        <w:t>深化传统景区提档升级，创建国家级旅游度假区。以骑行徒步和越野为重点，建设特色户外运动示范区。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依托民宿发展共享农业、非遗体验等特色项目，拓展“小院+”融合发展路径。挖掘气象、地质遗迹等特色资源，培育壮大生态研学、森林康养等特色生态产业。到2027年，“两山”转化路径持续拓宽，转化效能加速释放，具有辨识度的“两山”转化特色品牌矩阵加快形成。到2028年，生态特色产业集群化发展，生态惠民成果更加丰硕。</w:t>
      </w:r>
    </w:p>
    <w:p w14:paraId="02BE6994">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19.</w:t>
      </w: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14:ligatures w14:val="standardContextual"/>
        </w:rPr>
        <w:t>培育生态文明主流价值观</w:t>
      </w:r>
    </w:p>
    <w:p w14:paraId="3F9A63E1">
      <w:pPr>
        <w:keepNext w:val="0"/>
        <w:keepLines w:val="0"/>
        <w:pageBreakBefore w:val="0"/>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color w:val="000000" w:themeColor="text1"/>
          <w:sz w:val="32"/>
          <w:szCs w:val="32"/>
          <w:highlight w:val="none"/>
          <w:lang w:val="en-US"/>
          <w14:textFill>
            <w14:solidFill>
              <w14:schemeClr w14:val="tx1"/>
            </w14:solidFill>
          </w14:textFill>
          <w14:ligatures w14:val="standardContextua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建立健全以生态价值观念为准则的生态文化体系，发挥文化大区优势，</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依托长城</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文化</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西山</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永定河文化带建设</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推动历史文化保护与生态环境保护互融互促。</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加强生态文明宣传教育，</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积极打造以生态校园为空间载体、以美育教育为内核的美丽校园。</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健全生态文明共建共治共享机制，</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推动生活垃圾源头减量，推进慢行交通体系建设，完善绿色产品推广机制，开展绿色社区、绿色学校、绿色机关等建设</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完善生态环境</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公众监督机制和志愿服务体系</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到2027年，形成美丽校园建设导则，积极开展试点建设。到2028年，美丽校园试点建设取得重要突破。</w:t>
      </w:r>
    </w:p>
    <w:p w14:paraId="035D397D">
      <w:pPr>
        <w:keepNext w:val="0"/>
        <w:keepLines w:val="0"/>
        <w:pageBreakBefore w:val="0"/>
        <w:widowControl w:val="0"/>
        <w:wordWrap/>
        <w:overflowPunct/>
        <w:topLinePunct w:val="0"/>
        <w:autoSpaceDE/>
        <w:autoSpaceDN/>
        <w:bidi w:val="0"/>
        <w:adjustRightInd/>
        <w:snapToGrid/>
        <w:spacing w:line="560" w:lineRule="exact"/>
        <w:ind w:firstLine="707" w:firstLineChars="220"/>
        <w:jc w:val="both"/>
        <w:outlineLvl w:val="2"/>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pPr>
      <w:bookmarkStart w:id="26" w:name="_Toc24497"/>
      <w:bookmarkStart w:id="27" w:name="_Toc26124"/>
      <w:bookmarkStart w:id="28" w:name="_Toc180942066"/>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20.深化区域协同</w:t>
      </w:r>
      <w:bookmarkEnd w:id="26"/>
      <w:bookmarkEnd w:id="27"/>
      <w:bookmarkEnd w:id="28"/>
      <w:r>
        <w:rPr>
          <w:rFonts w:hint="eastAsia" w:ascii="仿宋" w:hAnsi="仿宋" w:eastAsia="仿宋" w:cs="仿宋_GB2312"/>
          <w:b/>
          <w:bCs/>
          <w:color w:val="000000" w:themeColor="text1"/>
          <w:kern w:val="2"/>
          <w:sz w:val="32"/>
          <w:szCs w:val="36"/>
          <w:highlight w:val="none"/>
          <w:lang w:val="en-US" w:eastAsia="zh-CN" w:bidi="ar-SA"/>
          <w14:textFill>
            <w14:solidFill>
              <w14:schemeClr w14:val="tx1"/>
            </w14:solidFill>
          </w14:textFill>
          <w14:ligatures w14:val="standardContextual"/>
        </w:rPr>
        <w:t>共治</w:t>
      </w:r>
    </w:p>
    <w:p w14:paraId="3797021F">
      <w:pPr>
        <w:keepNext w:val="0"/>
        <w:keepLines w:val="0"/>
        <w:pageBreakBefore w:val="0"/>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sz w:val="32"/>
          <w:szCs w:val="32"/>
          <w:highlight w:val="yellow"/>
          <w:lang w:val="en-US" w:eastAsia="zh-CN"/>
          <w14:textFill>
            <w14:solidFill>
              <w14:schemeClr w14:val="tx1"/>
            </w14:solidFill>
          </w14:textFill>
          <w14:ligatures w14:val="standardContextual"/>
        </w:rPr>
      </w:pP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探索重要生态空间保护与发展协同机制，推动跨要素、跨部门、跨地区生态环境协同监管，持续开展污染防治综合治理与联动攻坚，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强化</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京冀地区重点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生态保育功能区</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一体化协同保护与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修复</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加强与张家口市绿色共建，建立灵山交界区域林草联动保护监管机制，统筹区域草甸管控与保育。探索</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构建跨区域生物多样性保护联盟，</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聚焦灵山、百花山、官厅水库、永定河等重要生态空间及大气、水、生态等重点领域，深化区域协同联动，</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以生态</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环境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高水平保护</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推进</w:t>
      </w:r>
      <w:r>
        <w:rPr>
          <w:rFonts w:hint="eastAsia" w:ascii="仿宋_GB2312" w:hAnsi="仿宋_GB2312" w:eastAsia="仿宋_GB2312" w:cs="仿宋_GB2312"/>
          <w:color w:val="000000" w:themeColor="text1"/>
          <w:sz w:val="32"/>
          <w:szCs w:val="32"/>
          <w:highlight w:val="none"/>
          <w14:textFill>
            <w14:solidFill>
              <w14:schemeClr w14:val="tx1"/>
            </w14:solidFill>
          </w14:textFill>
          <w14:ligatures w14:val="standardContextual"/>
        </w:rPr>
        <w:t>绿色高质量发展。</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14:ligatures w14:val="standardContextual"/>
        </w:rPr>
        <w:t>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14:ligatures w14:val="standardContextual"/>
        </w:rPr>
        <w:t>2028年，生态环境质量协同改善，重点区域生态保护协同治理能力进一步提升。</w:t>
      </w:r>
    </w:p>
    <w:p w14:paraId="2308E18D"/>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2772EA10">
      <w:pPr>
        <w:widowControl w:val="0"/>
        <w:snapToGrid w:val="0"/>
        <w:spacing w:line="240" w:lineRule="auto"/>
        <w:ind w:firstLine="360" w:firstLineChars="200"/>
        <w:jc w:val="left"/>
        <w:rPr>
          <w:rFonts w:hint="eastAsia" w:ascii="仿宋_GB2312" w:hAnsi="仿宋_GB2312" w:eastAsia="仿宋_GB2312" w:cs="仿宋_GB2312"/>
          <w:kern w:val="2"/>
          <w:sz w:val="18"/>
          <w:szCs w:val="32"/>
          <w:lang w:val="en-US" w:eastAsia="zh-CN" w:bidi="ar-SA"/>
          <w14:ligatures w14:val="standardContextual"/>
        </w:rPr>
      </w:pPr>
      <w:r>
        <w:rPr>
          <w:rFonts w:hint="eastAsia" w:ascii="仿宋_GB2312" w:hAnsi="仿宋_GB2312" w:eastAsia="仿宋_GB2312" w:cs="仿宋_GB2312"/>
          <w:kern w:val="2"/>
          <w:sz w:val="18"/>
          <w:szCs w:val="32"/>
          <w:lang w:val="en-US" w:eastAsia="zh-CN" w:bidi="ar-SA"/>
          <w14:ligatures w14:val="standardContextual"/>
        </w:rPr>
        <w:footnoteRef/>
      </w:r>
      <w:r>
        <w:rPr>
          <w:rFonts w:hint="eastAsia" w:ascii="仿宋_GB2312" w:hAnsi="仿宋_GB2312" w:eastAsia="仿宋_GB2312" w:cs="仿宋_GB2312"/>
          <w:kern w:val="2"/>
          <w:sz w:val="18"/>
          <w:szCs w:val="32"/>
          <w:lang w:val="en-US" w:eastAsia="zh-CN" w:bidi="ar-SA"/>
          <w14:ligatures w14:val="standardContextual"/>
        </w:rPr>
        <w:t xml:space="preserve"> 指标取自门头沟区分区规划（2017—2035年）</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21795E"/>
    <w:rsid w:val="0A0A0BCF"/>
    <w:rsid w:val="0FBD375E"/>
    <w:rsid w:val="29725235"/>
    <w:rsid w:val="5A54468E"/>
    <w:rsid w:val="7B2179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footnote reference"/>
    <w:basedOn w:val="3"/>
    <w:semiHidden/>
    <w:unhideWhenUsed/>
    <w:qFormat/>
    <w:uiPriority w:val="99"/>
    <w:rPr>
      <w:vertAlign w:val="superscript"/>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5086</Words>
  <Characters>5261</Characters>
  <Lines>0</Lines>
  <Paragraphs>0</Paragraphs>
  <TotalTime>92</TotalTime>
  <ScaleCrop>false</ScaleCrop>
  <LinksUpToDate>false</LinksUpToDate>
  <CharactersWithSpaces>5262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2026-01-13T02:33:00Z</dcterms:created>
  <dc:creator>Αστέρια</dc:creator>
  <cp:lastModifiedBy>Αστέρια</cp:lastModifiedBy>
  <dcterms:modified xsi:type="dcterms:W3CDTF">2026-03-12T08:08:00Z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56E3BB5264AE4E90B16B64E2CD373BD1_11</vt:lpwstr>
  </property>
  <property fmtid="{D5CDD505-2E9C-101B-9397-08002B2CF9AE}" pid="4" name="KSOTemplateDocerSaveRecord">
    <vt:lpwstr>eyJoZGlkIjoiNmJmMjY2ZTM0ZGIwNWU0NDQ2MzgxMDc0YmRiM2U1ODUiLCJ1c2VySWQiOiIyMDQyNTIyMTcifQ==</vt:lpwstr>
  </property>
</Properties>
</file>