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7C8BA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sz w:val="44"/>
          <w:szCs w:val="44"/>
          <w:lang w:eastAsia="zh-CN"/>
        </w:rPr>
      </w:pPr>
      <w:bookmarkStart w:id="0" w:name="OLE_LINK1"/>
      <w:r>
        <w:rPr>
          <w:rFonts w:hint="eastAsia" w:ascii="方正小标宋简体" w:hAnsi="方正小标宋简体" w:eastAsia="方正小标宋简体" w:cs="方正小标宋简体"/>
          <w:b w:val="0"/>
          <w:bCs/>
          <w:sz w:val="44"/>
          <w:szCs w:val="44"/>
        </w:rPr>
        <w:t>关于《</w:t>
      </w:r>
      <w:r>
        <w:rPr>
          <w:rFonts w:hint="eastAsia" w:ascii="方正小标宋简体" w:hAnsi="方正小标宋简体" w:eastAsia="方正小标宋简体" w:cs="方正小标宋简体"/>
          <w:b w:val="0"/>
          <w:bCs/>
          <w:sz w:val="44"/>
          <w:szCs w:val="44"/>
          <w:lang w:eastAsia="zh-CN"/>
        </w:rPr>
        <w:t>门头沟区深入实施生态立区战略</w:t>
      </w:r>
    </w:p>
    <w:p w14:paraId="519AFEB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spacing w:val="-6"/>
          <w:sz w:val="44"/>
          <w:szCs w:val="44"/>
        </w:rPr>
      </w:pPr>
      <w:r>
        <w:rPr>
          <w:rFonts w:hint="eastAsia" w:ascii="方正小标宋简体" w:hAnsi="方正小标宋简体" w:eastAsia="方正小标宋简体" w:cs="方正小标宋简体"/>
          <w:b w:val="0"/>
          <w:bCs/>
          <w:sz w:val="44"/>
          <w:szCs w:val="44"/>
          <w:lang w:eastAsia="zh-CN"/>
        </w:rPr>
        <w:t>加快推进美丽北京先行区建设的行动方案（</w:t>
      </w:r>
      <w:r>
        <w:rPr>
          <w:rFonts w:hint="eastAsia" w:ascii="方正小标宋简体" w:hAnsi="方正小标宋简体" w:eastAsia="方正小标宋简体" w:cs="方正小标宋简体"/>
          <w:b w:val="0"/>
          <w:bCs/>
          <w:sz w:val="44"/>
          <w:szCs w:val="44"/>
          <w:lang w:val="en-US" w:eastAsia="zh-CN"/>
        </w:rPr>
        <w:t>2026-2028年</w:t>
      </w:r>
      <w:r>
        <w:rPr>
          <w:rFonts w:hint="eastAsia" w:ascii="方正小标宋简体" w:hAnsi="方正小标宋简体" w:eastAsia="方正小标宋简体" w:cs="方正小标宋简体"/>
          <w:b w:val="0"/>
          <w:bCs/>
          <w:sz w:val="44"/>
          <w:szCs w:val="44"/>
          <w:lang w:eastAsia="zh-CN"/>
        </w:rPr>
        <w:t>）（征求意见稿）</w:t>
      </w:r>
      <w:r>
        <w:rPr>
          <w:rFonts w:hint="eastAsia" w:ascii="方正小标宋简体" w:hAnsi="方正小标宋简体" w:eastAsia="方正小标宋简体" w:cs="方正小标宋简体"/>
          <w:b w:val="0"/>
          <w:bCs/>
          <w:spacing w:val="-6"/>
          <w:sz w:val="44"/>
          <w:szCs w:val="44"/>
        </w:rPr>
        <w:t>》</w:t>
      </w:r>
    </w:p>
    <w:p w14:paraId="2FB6ECE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的起草说明</w:t>
      </w:r>
      <w:bookmarkEnd w:id="0"/>
    </w:p>
    <w:p w14:paraId="1979EEC3">
      <w:pPr>
        <w:pStyle w:val="4"/>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小标宋简体" w:hAnsi="方正小标宋简体" w:eastAsia="方正小标宋简体" w:cs="方正小标宋简体"/>
          <w:b/>
          <w:sz w:val="44"/>
          <w:szCs w:val="44"/>
        </w:rPr>
      </w:pPr>
    </w:p>
    <w:p w14:paraId="69432417">
      <w:pPr>
        <w:suppressAutoHyphens/>
        <w:adjustRightInd w:val="0"/>
        <w:spacing w:line="560" w:lineRule="exact"/>
        <w:ind w:firstLine="640" w:firstLineChars="200"/>
        <w:rPr>
          <w:rFonts w:hint="eastAsia" w:ascii="仿宋_GB2312" w:hAnsi="仿宋_GB2312" w:eastAsia="仿宋_GB2312" w:cs="仿宋_GB2312"/>
          <w:kern w:val="0"/>
          <w:sz w:val="32"/>
          <w:szCs w:val="32"/>
          <w:lang w:eastAsia="zh-CN"/>
        </w:rPr>
      </w:pPr>
      <w:r>
        <w:rPr>
          <w:rFonts w:hint="eastAsia" w:ascii="黑体" w:hAnsi="黑体" w:eastAsia="黑体" w:cs="黑体"/>
          <w:sz w:val="32"/>
          <w:szCs w:val="32"/>
        </w:rPr>
        <w:t>一、起草背景</w:t>
      </w:r>
    </w:p>
    <w:p w14:paraId="1D9FD69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为深入贯彻落实《中共北京市委 北京市人民政府关于全面建设美丽北京加快推进人与自然和谐共生的现代化的实施意见》，深度融入美丽北京建设大局，</w:t>
      </w:r>
      <w:r>
        <w:rPr>
          <w:rFonts w:hint="eastAsia" w:ascii="仿宋_GB2312" w:hAnsi="仿宋_GB2312" w:eastAsia="仿宋_GB2312" w:cs="仿宋_GB2312"/>
          <w:sz w:val="32"/>
          <w:szCs w:val="32"/>
          <w:lang w:val="en-US" w:eastAsia="zh-CN"/>
        </w:rPr>
        <w:t>进一步落实全区“十五五”规划有关部署，</w:t>
      </w:r>
      <w:r>
        <w:rPr>
          <w:rFonts w:hint="eastAsia" w:ascii="仿宋_GB2312" w:hAnsi="仿宋_GB2312" w:eastAsia="仿宋_GB2312" w:cs="仿宋_GB2312"/>
          <w:sz w:val="32"/>
          <w:szCs w:val="32"/>
          <w:highlight w:val="none"/>
          <w:lang w:val="en-US" w:eastAsia="zh-CN"/>
        </w:rPr>
        <w:t>门头沟区生态环境局</w:t>
      </w:r>
      <w:r>
        <w:rPr>
          <w:rFonts w:hint="eastAsia" w:ascii="仿宋_GB2312" w:hAnsi="仿宋_GB2312" w:eastAsia="仿宋_GB2312" w:cs="仿宋_GB2312"/>
          <w:sz w:val="32"/>
          <w:szCs w:val="32"/>
          <w:lang w:val="en-US" w:eastAsia="zh-CN"/>
        </w:rPr>
        <w:t>对</w:t>
      </w:r>
      <w:r>
        <w:rPr>
          <w:rFonts w:hint="eastAsia" w:ascii="仿宋_GB2312" w:hAnsi="仿宋_GB2312" w:eastAsia="仿宋_GB2312" w:cs="仿宋_GB2312"/>
          <w:sz w:val="32"/>
          <w:szCs w:val="32"/>
          <w:highlight w:val="none"/>
          <w:lang w:val="en-US" w:eastAsia="zh-CN"/>
        </w:rPr>
        <w:t>《门头沟区深入实施生态立区战略 加快推进美丽北京先行区建设的行动方案（2026-2028年）（征求意见稿）》（以下简称《行动方案》）</w:t>
      </w:r>
      <w:r>
        <w:rPr>
          <w:rFonts w:hint="eastAsia" w:ascii="仿宋_GB2312" w:hAnsi="仿宋_GB2312" w:eastAsia="仿宋_GB2312" w:cs="仿宋_GB2312"/>
          <w:sz w:val="32"/>
          <w:szCs w:val="32"/>
          <w:lang w:val="en-US" w:eastAsia="zh-CN"/>
        </w:rPr>
        <w:t>进行了修改完善，重点调整了文本结构、细化改动了部分任务措施，</w:t>
      </w:r>
      <w:r>
        <w:rPr>
          <w:rFonts w:hint="eastAsia" w:ascii="仿宋_GB2312" w:hAnsi="仿宋_GB2312" w:eastAsia="仿宋_GB2312" w:cs="仿宋_GB2312"/>
          <w:sz w:val="32"/>
          <w:szCs w:val="32"/>
          <w:highlight w:val="none"/>
          <w:lang w:val="en-US" w:eastAsia="zh-CN"/>
        </w:rPr>
        <w:t>统筹生态优先和绿色低碳发展，全面建设人与自然和谐共生的美丽门头沟。</w:t>
      </w:r>
    </w:p>
    <w:p w14:paraId="6A4C5EB2">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起草过程</w:t>
      </w:r>
      <w:bookmarkStart w:id="1" w:name="_GoBack"/>
      <w:bookmarkEnd w:id="1"/>
    </w:p>
    <w:p w14:paraId="75E6FE8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highlight w:val="yellow"/>
          <w:lang w:val="en-US" w:eastAsia="zh-CN"/>
        </w:rPr>
      </w:pPr>
      <w:r>
        <w:rPr>
          <w:rFonts w:hint="eastAsia" w:ascii="仿宋_GB2312" w:hAnsi="仿宋_GB2312" w:eastAsia="仿宋_GB2312" w:cs="仿宋_GB2312"/>
          <w:sz w:val="32"/>
          <w:szCs w:val="32"/>
          <w:highlight w:val="none"/>
          <w:lang w:val="en-US" w:eastAsia="zh-CN"/>
        </w:rPr>
        <w:t>《行动方案》全面承接国家和市级部门要求，立足门头沟实际，坚持问题及目标导向，重点围绕“补漏洞、提品质、创特色、探路径”四方面出发细致谋划，突出减污、降碳、扩绿、增长重点任务，编制形成</w:t>
      </w:r>
      <w:r>
        <w:rPr>
          <w:rFonts w:hint="eastAsia" w:ascii="仿宋_GB2312" w:hAnsi="仿宋_GB2312" w:eastAsia="仿宋_GB2312" w:cs="仿宋_GB2312"/>
          <w:kern w:val="0"/>
          <w:sz w:val="32"/>
          <w:szCs w:val="32"/>
          <w:highlight w:val="none"/>
          <w:lang w:val="en-US" w:eastAsia="zh-CN"/>
        </w:rPr>
        <w:t>《行动方案》。方案面向区属相关部门和镇街征求一轮次意见建议，并在市生态环境局相关处室的指导下进行完善，最终形成公开征求意见文稿。</w:t>
      </w:r>
    </w:p>
    <w:p w14:paraId="454BD73B">
      <w:pPr>
        <w:suppressAutoHyphens/>
        <w:adjustRightInd w:val="0"/>
        <w:spacing w:line="560" w:lineRule="exact"/>
        <w:ind w:firstLine="640" w:firstLineChars="200"/>
        <w:rPr>
          <w:rFonts w:hint="eastAsia"/>
          <w:lang w:val="en-US" w:eastAsia="zh-CN"/>
        </w:rPr>
      </w:pPr>
      <w:r>
        <w:rPr>
          <w:rFonts w:hint="eastAsia" w:ascii="黑体" w:hAnsi="黑体" w:eastAsia="黑体" w:cs="黑体"/>
          <w:sz w:val="32"/>
          <w:szCs w:val="32"/>
        </w:rPr>
        <w:t>三、主要内容</w:t>
      </w:r>
    </w:p>
    <w:p w14:paraId="01083153">
      <w:pPr>
        <w:keepNext w:val="0"/>
        <w:keepLines w:val="0"/>
        <w:pageBreakBefore w:val="0"/>
        <w:widowControl w:val="0"/>
        <w:kinsoku/>
        <w:wordWrap/>
        <w:overflowPunct/>
        <w:topLinePunct w:val="0"/>
        <w:autoSpaceDE/>
        <w:autoSpaceDN/>
        <w:bidi w:val="0"/>
        <w:adjustRightInd/>
        <w:snapToGrid w:val="0"/>
        <w:spacing w:line="560" w:lineRule="exact"/>
        <w:ind w:firstLine="645"/>
        <w:textAlignment w:val="auto"/>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《行动方案》包括四个方面，20项重点任务，具体内容如下：</w:t>
      </w:r>
    </w:p>
    <w:p w14:paraId="7DF8C789">
      <w:pPr>
        <w:keepNext w:val="0"/>
        <w:keepLines w:val="0"/>
        <w:pageBreakBefore w:val="0"/>
        <w:widowControl w:val="0"/>
        <w:kinsoku/>
        <w:wordWrap/>
        <w:overflowPunct/>
        <w:topLinePunct w:val="0"/>
        <w:autoSpaceDE/>
        <w:autoSpaceDN/>
        <w:bidi w:val="0"/>
        <w:adjustRightInd/>
        <w:snapToGrid w:val="0"/>
        <w:spacing w:line="560" w:lineRule="exact"/>
        <w:ind w:firstLine="645"/>
        <w:textAlignment w:val="auto"/>
        <w:rPr>
          <w:rFonts w:hint="eastAsia" w:ascii="仿宋_GB2312" w:hAnsi="仿宋_GB2312" w:eastAsia="仿宋_GB2312" w:cs="仿宋_GB2312"/>
          <w:color w:val="000000" w:themeColor="text1"/>
          <w:kern w:val="2"/>
          <w:sz w:val="32"/>
          <w:szCs w:val="32"/>
          <w:highlight w:val="none"/>
          <w:lang w:val="en-US" w:eastAsia="zh-CN" w:bidi="ar"/>
          <w14:textFill>
            <w14:solidFill>
              <w14:schemeClr w14:val="tx1"/>
            </w14:solidFill>
          </w14:textFill>
          <w14:ligatures w14:val="standardContextual"/>
        </w:rPr>
      </w:pPr>
      <w:r>
        <w:rPr>
          <w:rFonts w:hint="eastAsia" w:ascii="仿宋_GB2312" w:eastAsia="仿宋_GB2312" w:cs="仿宋_GB2312"/>
          <w:b/>
          <w:bCs w:val="0"/>
          <w:color w:val="000000"/>
          <w:sz w:val="32"/>
          <w:szCs w:val="32"/>
          <w:highlight w:val="none"/>
        </w:rPr>
        <w:t>1.加快补强短板，筑牢生态安全新本底。一是</w:t>
      </w:r>
      <w:r>
        <w:rPr>
          <w:rFonts w:hint="eastAsia" w:ascii="仿宋_GB2312" w:eastAsia="仿宋_GB2312" w:cs="仿宋_GB2312"/>
          <w:b w:val="0"/>
          <w:bCs/>
          <w:color w:val="000000"/>
          <w:sz w:val="32"/>
          <w:szCs w:val="32"/>
          <w:highlight w:val="none"/>
        </w:rPr>
        <w:t>抓牢督察整改落实</w:t>
      </w:r>
      <w:r>
        <w:rPr>
          <w:rFonts w:hint="eastAsia" w:ascii="仿宋_GB2312" w:eastAsia="仿宋_GB2312" w:cs="仿宋_GB2312"/>
          <w:b w:val="0"/>
          <w:bCs/>
          <w:color w:val="000000"/>
          <w:sz w:val="32"/>
          <w:szCs w:val="32"/>
          <w:highlight w:val="none"/>
          <w:lang w:eastAsia="zh-CN"/>
        </w:rPr>
        <w:t>，</w:t>
      </w:r>
      <w:r>
        <w:rPr>
          <w:rFonts w:hint="eastAsia" w:ascii="仿宋_GB2312" w:eastAsia="仿宋_GB2312" w:cs="仿宋_GB2312"/>
          <w:b w:val="0"/>
          <w:bCs/>
          <w:color w:val="000000"/>
          <w:sz w:val="32"/>
          <w:szCs w:val="32"/>
          <w:highlight w:val="none"/>
        </w:rPr>
        <w:t>以首善标准压实整改责任，健全工作机制。</w:t>
      </w:r>
      <w:r>
        <w:rPr>
          <w:rFonts w:hint="eastAsia" w:ascii="仿宋_GB2312" w:eastAsia="仿宋_GB2312" w:cs="仿宋_GB2312"/>
          <w:b/>
          <w:bCs w:val="0"/>
          <w:color w:val="000000"/>
          <w:sz w:val="32"/>
          <w:szCs w:val="32"/>
          <w:highlight w:val="none"/>
        </w:rPr>
        <w:t>二是</w:t>
      </w:r>
      <w:r>
        <w:rPr>
          <w:rFonts w:hint="eastAsia" w:ascii="仿宋_GB2312" w:eastAsia="仿宋_GB2312" w:cs="仿宋_GB2312"/>
          <w:b w:val="0"/>
          <w:bCs/>
          <w:color w:val="000000"/>
          <w:sz w:val="32"/>
          <w:szCs w:val="32"/>
          <w:highlight w:val="none"/>
        </w:rPr>
        <w:t>压实环境保护责任</w:t>
      </w:r>
      <w:r>
        <w:rPr>
          <w:rFonts w:hint="eastAsia" w:ascii="仿宋_GB2312" w:hAnsi="Times New Roman" w:eastAsia="仿宋_GB2312" w:cs="仿宋_GB2312"/>
          <w:b w:val="0"/>
          <w:bCs/>
          <w:color w:val="000000"/>
          <w:sz w:val="32"/>
          <w:szCs w:val="32"/>
          <w:highlight w:val="none"/>
        </w:rPr>
        <w:t>，</w:t>
      </w:r>
      <w:r>
        <w:rPr>
          <w:rFonts w:hint="default"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14:ligatures w14:val="standardContextual"/>
        </w:rPr>
        <w:t>强化区委生态文明委</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14:ligatures w14:val="standardContextual"/>
        </w:rPr>
        <w:t>统筹作用</w:t>
      </w:r>
      <w:r>
        <w:rPr>
          <w:rFonts w:hint="eastAsia" w:ascii="仿宋_GB2312" w:hAnsi="Times New Roman" w:eastAsia="仿宋_GB2312" w:cs="仿宋_GB2312"/>
          <w:b w:val="0"/>
          <w:bCs/>
          <w:color w:val="000000"/>
          <w:sz w:val="32"/>
          <w:szCs w:val="32"/>
          <w:highlight w:val="none"/>
        </w:rPr>
        <w:t>，</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严格落实工作</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t>成效</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考核</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t>制度</w:t>
      </w:r>
      <w:r>
        <w:rPr>
          <w:rFonts w:hint="eastAsia" w:ascii="仿宋_GB2312" w:hAnsi="Times New Roman" w:eastAsia="仿宋_GB2312" w:cs="仿宋_GB2312"/>
          <w:b w:val="0"/>
          <w:bCs/>
          <w:color w:val="000000"/>
          <w:sz w:val="32"/>
          <w:szCs w:val="32"/>
          <w:highlight w:val="none"/>
        </w:rPr>
        <w:t>。</w:t>
      </w:r>
      <w:r>
        <w:rPr>
          <w:rFonts w:hint="eastAsia" w:ascii="仿宋_GB2312" w:hAnsi="Times New Roman" w:eastAsia="仿宋_GB2312" w:cs="仿宋_GB2312"/>
          <w:b/>
          <w:bCs w:val="0"/>
          <w:color w:val="000000"/>
          <w:sz w:val="32"/>
          <w:szCs w:val="32"/>
          <w:highlight w:val="none"/>
        </w:rPr>
        <w:t>三是</w:t>
      </w:r>
      <w:r>
        <w:rPr>
          <w:rFonts w:hint="eastAsia" w:ascii="仿宋_GB2312" w:hAnsi="Times New Roman" w:eastAsia="仿宋_GB2312" w:cs="仿宋_GB2312"/>
          <w:b w:val="0"/>
          <w:bCs/>
          <w:color w:val="000000"/>
          <w:sz w:val="32"/>
          <w:szCs w:val="32"/>
          <w:highlight w:val="none"/>
        </w:rPr>
        <w:t>健全环境治理监管机制</w:t>
      </w:r>
      <w:r>
        <w:rPr>
          <w:rFonts w:hint="eastAsia" w:ascii="仿宋_GB2312" w:hAnsi="Times New Roman" w:eastAsia="仿宋_GB2312" w:cs="仿宋_GB2312"/>
          <w:b w:val="0"/>
          <w:bCs/>
          <w:color w:val="000000"/>
          <w:sz w:val="32"/>
          <w:szCs w:val="32"/>
          <w:highlight w:val="none"/>
          <w:lang w:eastAsia="zh-CN"/>
        </w:rPr>
        <w:t>，</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14:ligatures w14:val="standardContextual"/>
        </w:rPr>
        <w:t>强化生态保护修复监管制度建设，</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强化“三监”联动，健全公检法司全链条协同机制</w:t>
      </w:r>
      <w:r>
        <w:rPr>
          <w:rFonts w:hint="eastAsia" w:ascii="仿宋_GB2312" w:hAnsi="Times New Roman" w:eastAsia="仿宋_GB2312" w:cs="仿宋_GB2312"/>
          <w:b w:val="0"/>
          <w:bCs/>
          <w:color w:val="000000"/>
          <w:sz w:val="32"/>
          <w:szCs w:val="32"/>
          <w:highlight w:val="none"/>
        </w:rPr>
        <w:t>。</w:t>
      </w:r>
      <w:r>
        <w:rPr>
          <w:rFonts w:hint="eastAsia" w:ascii="仿宋_GB2312" w:eastAsia="仿宋_GB2312" w:cs="仿宋_GB2312"/>
          <w:b w:val="0"/>
          <w:bCs/>
          <w:color w:val="000000"/>
          <w:sz w:val="32"/>
          <w:szCs w:val="32"/>
          <w:highlight w:val="none"/>
        </w:rPr>
        <w:t>四是严守生态安全底线</w:t>
      </w:r>
      <w:r>
        <w:rPr>
          <w:rFonts w:hint="eastAsia" w:ascii="仿宋_GB2312" w:eastAsia="仿宋_GB2312" w:cs="仿宋_GB2312"/>
          <w:b w:val="0"/>
          <w:bCs/>
          <w:color w:val="000000"/>
          <w:sz w:val="32"/>
          <w:szCs w:val="32"/>
          <w:highlight w:val="none"/>
          <w:lang w:eastAsia="zh-CN"/>
        </w:rPr>
        <w:t>，</w:t>
      </w:r>
      <w:r>
        <w:rPr>
          <w:rFonts w:hint="eastAsia" w:ascii="仿宋_GB2312" w:hAnsi="仿宋_GB2312" w:eastAsia="仿宋_GB2312" w:cs="仿宋_GB2312"/>
          <w:color w:val="000000" w:themeColor="text1"/>
          <w:kern w:val="2"/>
          <w:sz w:val="32"/>
          <w:szCs w:val="32"/>
          <w:highlight w:val="none"/>
          <w:lang w:val="en-US" w:eastAsia="zh-CN" w:bidi="ar"/>
          <w14:textFill>
            <w14:solidFill>
              <w14:schemeClr w14:val="tx1"/>
            </w14:solidFill>
          </w14:textFill>
          <w14:ligatures w14:val="standardContextual"/>
        </w:rPr>
        <w:t>严格落实生态保护红线管理制度，严格管控城镇开发边界，</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加强环境风险隐患排查。</w:t>
      </w:r>
    </w:p>
    <w:p w14:paraId="39AA66AE">
      <w:pPr>
        <w:keepNext w:val="0"/>
        <w:keepLines w:val="0"/>
        <w:pageBreakBefore w:val="0"/>
        <w:widowControl w:val="0"/>
        <w:kinsoku/>
        <w:wordWrap/>
        <w:overflowPunct/>
        <w:topLinePunct w:val="0"/>
        <w:autoSpaceDE/>
        <w:autoSpaceDN/>
        <w:bidi w:val="0"/>
        <w:adjustRightInd/>
        <w:snapToGrid w:val="0"/>
        <w:spacing w:line="560" w:lineRule="exact"/>
        <w:ind w:firstLine="645"/>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pPr>
      <w:r>
        <w:rPr>
          <w:rFonts w:hint="eastAsia" w:ascii="仿宋_GB2312" w:eastAsia="仿宋_GB2312" w:cs="仿宋_GB2312"/>
          <w:b/>
          <w:bCs w:val="0"/>
          <w:color w:val="000000"/>
          <w:sz w:val="32"/>
          <w:szCs w:val="32"/>
          <w:highlight w:val="none"/>
        </w:rPr>
        <w:t>2.提升生态品质，擘画宜居生活新图景。</w:t>
      </w:r>
      <w:r>
        <w:rPr>
          <w:rFonts w:hint="eastAsia" w:ascii="仿宋_GB2312" w:eastAsia="仿宋_GB2312" w:cs="仿宋_GB2312"/>
          <w:b/>
          <w:bCs w:val="0"/>
          <w:color w:val="000000"/>
          <w:sz w:val="32"/>
          <w:szCs w:val="32"/>
          <w:highlight w:val="none"/>
          <w:lang w:eastAsia="zh-CN"/>
        </w:rPr>
        <w:t>一是</w:t>
      </w:r>
      <w:r>
        <w:rPr>
          <w:rFonts w:hint="eastAsia" w:ascii="仿宋_GB2312" w:eastAsia="仿宋_GB2312" w:cs="仿宋_GB2312"/>
          <w:b w:val="0"/>
          <w:bCs/>
          <w:color w:val="000000"/>
          <w:sz w:val="32"/>
          <w:szCs w:val="32"/>
          <w:highlight w:val="none"/>
        </w:rPr>
        <w:t>深入打好蓝天保卫战</w:t>
      </w:r>
      <w:r>
        <w:rPr>
          <w:rFonts w:hint="eastAsia" w:ascii="仿宋_GB2312" w:eastAsia="仿宋_GB2312" w:cs="仿宋_GB2312"/>
          <w:b w:val="0"/>
          <w:bCs/>
          <w:color w:val="000000"/>
          <w:sz w:val="32"/>
          <w:szCs w:val="32"/>
          <w:highlight w:val="none"/>
          <w:lang w:eastAsia="zh-CN"/>
        </w:rPr>
        <w:t>，</w:t>
      </w:r>
      <w:r>
        <w:rPr>
          <w:rFonts w:hint="eastAsia" w:ascii="仿宋_GB2312" w:eastAsia="仿宋_GB2312" w:cs="仿宋_GB2312"/>
          <w:b w:val="0"/>
          <w:bCs/>
          <w:color w:val="000000"/>
          <w:sz w:val="32"/>
          <w:szCs w:val="32"/>
          <w:highlight w:val="none"/>
        </w:rPr>
        <w:t>推进多污染物协同</w:t>
      </w:r>
      <w:r>
        <w:rPr>
          <w:rFonts w:hint="eastAsia" w:ascii="仿宋_GB2312" w:hAnsi="Times New Roman" w:eastAsia="仿宋_GB2312" w:cs="仿宋_GB2312"/>
          <w:b w:val="0"/>
          <w:bCs/>
          <w:color w:val="000000"/>
          <w:sz w:val="32"/>
          <w:szCs w:val="32"/>
          <w:highlight w:val="none"/>
        </w:rPr>
        <w:t>减排</w:t>
      </w:r>
      <w:r>
        <w:rPr>
          <w:rFonts w:hint="eastAsia" w:ascii="仿宋_GB2312" w:hAnsi="Times New Roman" w:eastAsia="仿宋_GB2312" w:cs="仿宋_GB2312"/>
          <w:b w:val="0"/>
          <w:bCs/>
          <w:color w:val="000000"/>
          <w:sz w:val="32"/>
          <w:szCs w:val="32"/>
          <w:highlight w:val="none"/>
          <w:lang w:eastAsia="zh-CN"/>
        </w:rPr>
        <w:t>，</w:t>
      </w: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14:ligatures w14:val="standardContextual"/>
        </w:rPr>
        <w:t>优化移动源结构，深化汽修行业精细化管理和绿色升级</w:t>
      </w:r>
      <w:r>
        <w:rPr>
          <w:rFonts w:hint="eastAsia" w:ascii="仿宋_GB2312" w:hAnsi="Times New Roman" w:eastAsia="仿宋_GB2312" w:cs="仿宋_GB2312"/>
          <w:b w:val="0"/>
          <w:bCs/>
          <w:color w:val="000000"/>
          <w:sz w:val="32"/>
          <w:szCs w:val="32"/>
          <w:highlight w:val="none"/>
          <w:lang w:eastAsia="zh-CN"/>
        </w:rPr>
        <w:t>，</w:t>
      </w: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14:ligatures w14:val="standardContextual"/>
        </w:rPr>
        <w:t>开展扬尘治理专项行动</w:t>
      </w:r>
      <w:r>
        <w:rPr>
          <w:rFonts w:hint="eastAsia" w:ascii="仿宋_GB2312" w:hAnsi="Times New Roman" w:eastAsia="仿宋_GB2312" w:cs="仿宋_GB2312"/>
          <w:b w:val="0"/>
          <w:bCs/>
          <w:color w:val="000000"/>
          <w:sz w:val="32"/>
          <w:szCs w:val="32"/>
          <w:highlight w:val="none"/>
        </w:rPr>
        <w:t>。</w:t>
      </w:r>
      <w:r>
        <w:rPr>
          <w:rFonts w:hint="eastAsia" w:ascii="仿宋_GB2312" w:eastAsia="仿宋_GB2312" w:cs="仿宋_GB2312"/>
          <w:b/>
          <w:bCs w:val="0"/>
          <w:color w:val="000000"/>
          <w:sz w:val="32"/>
          <w:szCs w:val="32"/>
          <w:highlight w:val="none"/>
        </w:rPr>
        <w:t>二是</w:t>
      </w:r>
      <w:r>
        <w:rPr>
          <w:rFonts w:hint="eastAsia" w:ascii="仿宋_GB2312" w:eastAsia="仿宋_GB2312" w:cs="仿宋_GB2312"/>
          <w:b w:val="0"/>
          <w:bCs/>
          <w:color w:val="000000"/>
          <w:sz w:val="32"/>
          <w:szCs w:val="32"/>
          <w:highlight w:val="none"/>
        </w:rPr>
        <w:t>深入打好碧水保卫战</w:t>
      </w:r>
      <w:r>
        <w:rPr>
          <w:rFonts w:hint="eastAsia" w:ascii="仿宋_GB2312" w:eastAsia="仿宋_GB2312" w:cs="仿宋_GB2312"/>
          <w:b w:val="0"/>
          <w:bCs/>
          <w:color w:val="000000"/>
          <w:sz w:val="32"/>
          <w:szCs w:val="32"/>
          <w:highlight w:val="none"/>
          <w:lang w:eastAsia="zh-CN"/>
        </w:rPr>
        <w:t>，</w:t>
      </w:r>
      <w:r>
        <w:rPr>
          <w:rFonts w:hint="eastAsia" w:ascii="仿宋_GB2312" w:eastAsia="仿宋_GB2312" w:cs="仿宋_GB2312"/>
          <w:b w:val="0"/>
          <w:bCs/>
          <w:color w:val="000000"/>
          <w:sz w:val="32"/>
          <w:szCs w:val="32"/>
          <w:highlight w:val="none"/>
        </w:rPr>
        <w:t>加强饮用水水源地保护</w:t>
      </w:r>
      <w:r>
        <w:rPr>
          <w:rFonts w:hint="eastAsia" w:ascii="仿宋_GB2312" w:hAnsi="Times New Roman" w:eastAsia="仿宋_GB2312" w:cs="仿宋_GB2312"/>
          <w:b w:val="0"/>
          <w:bCs/>
          <w:color w:val="000000"/>
          <w:sz w:val="32"/>
          <w:szCs w:val="32"/>
          <w:highlight w:val="none"/>
          <w:lang w:eastAsia="zh-CN"/>
        </w:rPr>
        <w:t>，强化入河排口全过程管理，推进河道治理与生态保护修复。</w:t>
      </w:r>
      <w:r>
        <w:rPr>
          <w:rFonts w:hint="eastAsia" w:ascii="仿宋_GB2312" w:hAnsi="Times New Roman" w:eastAsia="仿宋_GB2312" w:cs="仿宋_GB2312"/>
          <w:b/>
          <w:bCs w:val="0"/>
          <w:color w:val="000000"/>
          <w:sz w:val="32"/>
          <w:szCs w:val="32"/>
          <w:highlight w:val="none"/>
          <w:lang w:eastAsia="zh-CN"/>
        </w:rPr>
        <w:t>三是</w:t>
      </w:r>
      <w:r>
        <w:rPr>
          <w:rFonts w:hint="eastAsia" w:ascii="仿宋_GB2312" w:hAnsi="Times New Roman" w:eastAsia="仿宋_GB2312" w:cs="仿宋_GB2312"/>
          <w:b w:val="0"/>
          <w:bCs/>
          <w:color w:val="000000"/>
          <w:sz w:val="32"/>
          <w:szCs w:val="32"/>
          <w:highlight w:val="none"/>
          <w:lang w:eastAsia="zh-CN"/>
        </w:rPr>
        <w:t>深入打好净土保卫</w:t>
      </w:r>
      <w:r>
        <w:rPr>
          <w:rFonts w:hint="eastAsia" w:ascii="仿宋_GB2312" w:eastAsia="仿宋_GB2312" w:cs="仿宋_GB2312"/>
          <w:b w:val="0"/>
          <w:bCs/>
          <w:color w:val="000000"/>
          <w:sz w:val="32"/>
          <w:szCs w:val="32"/>
          <w:highlight w:val="none"/>
        </w:rPr>
        <w:t>战</w:t>
      </w:r>
      <w:r>
        <w:rPr>
          <w:rFonts w:hint="eastAsia" w:ascii="仿宋_GB2312" w:eastAsia="仿宋_GB2312" w:cs="仿宋_GB2312"/>
          <w:b w:val="0"/>
          <w:bCs/>
          <w:color w:val="000000"/>
          <w:sz w:val="32"/>
          <w:szCs w:val="32"/>
          <w:highlight w:val="none"/>
          <w:lang w:eastAsia="zh-CN"/>
        </w:rPr>
        <w:t>，</w:t>
      </w:r>
      <w:r>
        <w:rPr>
          <w:rFonts w:hint="eastAsia" w:ascii="仿宋_GB2312" w:eastAsia="仿宋_GB2312" w:cs="仿宋_GB2312"/>
          <w:b w:val="0"/>
          <w:bCs/>
          <w:color w:val="000000"/>
          <w:sz w:val="32"/>
          <w:szCs w:val="32"/>
          <w:highlight w:val="none"/>
        </w:rPr>
        <w:t>开展土壤污染风险管控和修复。</w:t>
      </w:r>
      <w:r>
        <w:rPr>
          <w:rFonts w:hint="eastAsia" w:ascii="仿宋_GB2312" w:eastAsia="仿宋_GB2312" w:cs="仿宋_GB2312"/>
          <w:b/>
          <w:bCs w:val="0"/>
          <w:color w:val="000000"/>
          <w:sz w:val="32"/>
          <w:szCs w:val="32"/>
          <w:highlight w:val="none"/>
        </w:rPr>
        <w:t>四是</w:t>
      </w:r>
      <w:r>
        <w:rPr>
          <w:rFonts w:hint="eastAsia" w:ascii="仿宋_GB2312" w:eastAsia="仿宋_GB2312" w:cs="仿宋_GB2312"/>
          <w:b w:val="0"/>
          <w:bCs/>
          <w:color w:val="000000"/>
          <w:sz w:val="32"/>
          <w:szCs w:val="32"/>
          <w:highlight w:val="none"/>
        </w:rPr>
        <w:t>强化固体废物和新污染物治理</w:t>
      </w:r>
      <w:r>
        <w:rPr>
          <w:rFonts w:hint="eastAsia" w:ascii="仿宋_GB2312" w:eastAsia="仿宋_GB2312" w:cs="仿宋_GB2312"/>
          <w:b w:val="0"/>
          <w:bCs/>
          <w:color w:val="000000"/>
          <w:sz w:val="32"/>
          <w:szCs w:val="32"/>
          <w:highlight w:val="none"/>
          <w:lang w:eastAsia="zh-CN"/>
        </w:rPr>
        <w:t>，</w:t>
      </w:r>
      <w:r>
        <w:rPr>
          <w:rFonts w:hint="eastAsia" w:ascii="仿宋_GB2312" w:hAnsi="仿宋_GB2312" w:eastAsia="仿宋_GB2312" w:cs="仿宋_GB2312"/>
          <w:sz w:val="32"/>
          <w:szCs w:val="32"/>
          <w:highlight w:val="none"/>
          <w:lang w:val="en-US" w:eastAsia="zh-CN"/>
          <w14:ligatures w14:val="standardContextual"/>
        </w:rPr>
        <w:t>实施</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t>固体废物</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综合治理行动</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w:t>
      </w:r>
      <w:r>
        <w:rPr>
          <w:rFonts w:hint="eastAsia" w:ascii="仿宋_GB2312" w:eastAsia="仿宋_GB2312" w:cs="仿宋_GB2312"/>
          <w:b w:val="0"/>
          <w:bCs/>
          <w:color w:val="000000"/>
          <w:sz w:val="32"/>
          <w:szCs w:val="32"/>
          <w:highlight w:val="none"/>
        </w:rPr>
        <w:t>推进新污染物协同治理和全生命周期环境风险管控。</w:t>
      </w:r>
      <w:r>
        <w:rPr>
          <w:rFonts w:hint="eastAsia" w:ascii="仿宋_GB2312" w:eastAsia="仿宋_GB2312" w:cs="仿宋_GB2312"/>
          <w:b/>
          <w:bCs w:val="0"/>
          <w:color w:val="000000"/>
          <w:sz w:val="32"/>
          <w:szCs w:val="32"/>
          <w:highlight w:val="none"/>
          <w:lang w:eastAsia="zh-CN"/>
        </w:rPr>
        <w:t>五是</w:t>
      </w:r>
      <w:r>
        <w:rPr>
          <w:rFonts w:hint="eastAsia" w:ascii="仿宋_GB2312" w:eastAsia="仿宋_GB2312" w:cs="仿宋_GB2312"/>
          <w:b w:val="0"/>
          <w:bCs/>
          <w:color w:val="000000"/>
          <w:sz w:val="32"/>
          <w:szCs w:val="32"/>
          <w:highlight w:val="none"/>
          <w:lang w:eastAsia="zh-CN"/>
        </w:rPr>
        <w:t>巩固生态系统稳定性，严格管控重要生态空间，</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加强生态状况综合监测和</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t>保护</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修复</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成效评估</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t>，加强废弃矿山生态修复与综合利用。</w:t>
      </w:r>
      <w:r>
        <w:rPr>
          <w:rFonts w:hint="eastAsia" w:ascii="仿宋_GB2312" w:hAnsi="仿宋_GB2312" w:eastAsia="仿宋_GB2312" w:cs="仿宋_GB2312"/>
          <w:b/>
          <w:bCs/>
          <w:color w:val="000000" w:themeColor="text1"/>
          <w:sz w:val="32"/>
          <w:szCs w:val="32"/>
          <w:highlight w:val="none"/>
          <w:lang w:eastAsia="zh-CN"/>
          <w14:textFill>
            <w14:solidFill>
              <w14:schemeClr w14:val="tx1"/>
            </w14:solidFill>
          </w14:textFill>
          <w14:ligatures w14:val="standardContextual"/>
        </w:rPr>
        <w:t>六</w:t>
      </w:r>
      <w:r>
        <w:rPr>
          <w:rFonts w:hint="eastAsia" w:ascii="仿宋_GB2312" w:eastAsia="仿宋_GB2312" w:cs="仿宋_GB2312"/>
          <w:b/>
          <w:bCs/>
          <w:color w:val="000000"/>
          <w:sz w:val="32"/>
          <w:szCs w:val="32"/>
          <w:highlight w:val="none"/>
        </w:rPr>
        <w:t>是</w:t>
      </w:r>
      <w:r>
        <w:rPr>
          <w:rFonts w:hint="eastAsia" w:ascii="仿宋_GB2312" w:eastAsia="仿宋_GB2312" w:cs="仿宋_GB2312"/>
          <w:b w:val="0"/>
          <w:bCs/>
          <w:color w:val="000000"/>
          <w:sz w:val="32"/>
          <w:szCs w:val="32"/>
          <w:highlight w:val="none"/>
        </w:rPr>
        <w:t>提高生态系统持续性</w:t>
      </w:r>
      <w:r>
        <w:rPr>
          <w:rFonts w:hint="eastAsia" w:ascii="仿宋_GB2312" w:eastAsia="仿宋_GB2312" w:cs="仿宋_GB2312"/>
          <w:b w:val="0"/>
          <w:bCs/>
          <w:color w:val="000000"/>
          <w:sz w:val="32"/>
          <w:szCs w:val="32"/>
          <w:highlight w:val="none"/>
          <w:lang w:eastAsia="zh-CN"/>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开展森林健康经营</w:t>
      </w:r>
      <w:r>
        <w:rPr>
          <w:rFonts w:hint="eastAsia" w:ascii="仿宋_GB2312" w:hAnsi="Times New Roman" w:eastAsia="仿宋_GB2312" w:cs="仿宋_GB2312"/>
          <w:b w:val="0"/>
          <w:bCs/>
          <w:color w:val="000000"/>
          <w:sz w:val="32"/>
          <w:szCs w:val="32"/>
          <w:highlight w:val="none"/>
        </w:rPr>
        <w:t>，</w:t>
      </w:r>
      <w:r>
        <w:rPr>
          <w:rFonts w:hint="eastAsia" w:ascii="仿宋_GB2312" w:hAnsi="仿宋_GB2312" w:eastAsia="仿宋_GB2312" w:cs="仿宋_GB2312"/>
          <w:sz w:val="32"/>
          <w:szCs w:val="32"/>
          <w:highlight w:val="none"/>
          <w14:ligatures w14:val="standardContextual"/>
        </w:rPr>
        <w:t>推动花园城市示范建设</w:t>
      </w:r>
      <w:r>
        <w:rPr>
          <w:rFonts w:hint="eastAsia" w:ascii="仿宋_GB2312" w:hAnsi="仿宋_GB2312" w:eastAsia="仿宋_GB2312" w:cs="仿宋_GB2312"/>
          <w:sz w:val="32"/>
          <w:szCs w:val="32"/>
          <w:highlight w:val="none"/>
          <w:lang w:eastAsia="zh-CN"/>
          <w14:ligatures w14:val="standardContextua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推动全区湿地资源系统保护修复</w:t>
      </w:r>
      <w:r>
        <w:rPr>
          <w:rFonts w:hint="eastAsia" w:ascii="仿宋_GB2312" w:hAnsi="仿宋_GB2312" w:eastAsia="仿宋_GB2312" w:cs="仿宋_GB2312"/>
          <w:sz w:val="32"/>
          <w:szCs w:val="32"/>
          <w:highlight w:val="none"/>
          <w14:ligatures w14:val="standardContextual"/>
        </w:rPr>
        <w:t>。</w:t>
      </w:r>
      <w:r>
        <w:rPr>
          <w:rFonts w:hint="eastAsia" w:ascii="仿宋_GB2312" w:hAnsi="仿宋_GB2312" w:eastAsia="仿宋_GB2312" w:cs="仿宋_GB2312"/>
          <w:b/>
          <w:bCs/>
          <w:sz w:val="32"/>
          <w:szCs w:val="32"/>
          <w:highlight w:val="none"/>
          <w:lang w:eastAsia="zh-CN"/>
          <w14:ligatures w14:val="standardContextual"/>
        </w:rPr>
        <w:t>七是</w:t>
      </w:r>
      <w:r>
        <w:rPr>
          <w:rFonts w:hint="eastAsia" w:ascii="仿宋_GB2312" w:hAnsi="仿宋_GB2312" w:eastAsia="仿宋_GB2312" w:cs="仿宋_GB2312"/>
          <w:sz w:val="32"/>
          <w:szCs w:val="32"/>
          <w:highlight w:val="none"/>
          <w:lang w:eastAsia="zh-CN"/>
          <w14:ligatures w14:val="standardContextual"/>
        </w:rPr>
        <w:t>加快打造精品城市，</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推广立体绿化模式，</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推进花园式示范街区建设，推进“几字湾”、永定河半岛等重要滨水节点规划建设。</w:t>
      </w:r>
    </w:p>
    <w:p w14:paraId="57DB83B9">
      <w:pPr>
        <w:keepNext w:val="0"/>
        <w:keepLines w:val="0"/>
        <w:pageBreakBefore w:val="0"/>
        <w:wordWrap/>
        <w:overflowPunct/>
        <w:topLinePunct w:val="0"/>
        <w:autoSpaceDE/>
        <w:autoSpaceDN/>
        <w:bidi w:val="0"/>
        <w:adjustRightInd/>
        <w:snapToGrid/>
        <w:spacing w:line="560" w:lineRule="exact"/>
        <w:ind w:firstLine="643" w:firstLineChars="200"/>
        <w:rPr>
          <w:rFonts w:hint="eastAsia" w:ascii="仿宋_GB2312" w:eastAsia="仿宋_GB2312" w:cs="仿宋_GB2312"/>
          <w:b w:val="0"/>
          <w:bCs/>
          <w:color w:val="000000"/>
          <w:sz w:val="32"/>
          <w:szCs w:val="32"/>
          <w:highlight w:val="none"/>
          <w:lang w:eastAsia="zh-CN"/>
        </w:rPr>
      </w:pPr>
      <w:r>
        <w:rPr>
          <w:rFonts w:hint="eastAsia" w:ascii="仿宋_GB2312" w:eastAsia="仿宋_GB2312" w:cs="仿宋_GB2312"/>
          <w:b/>
          <w:bCs w:val="0"/>
          <w:color w:val="000000"/>
          <w:sz w:val="32"/>
          <w:szCs w:val="32"/>
          <w:highlight w:val="none"/>
          <w:lang w:val="en-US" w:eastAsia="zh-CN"/>
        </w:rPr>
        <w:t>3</w:t>
      </w:r>
      <w:r>
        <w:rPr>
          <w:rFonts w:hint="eastAsia" w:ascii="仿宋_GB2312" w:eastAsia="仿宋_GB2312" w:cs="仿宋_GB2312"/>
          <w:b/>
          <w:bCs w:val="0"/>
          <w:color w:val="000000"/>
          <w:sz w:val="32"/>
          <w:szCs w:val="32"/>
          <w:highlight w:val="none"/>
        </w:rPr>
        <w:t>.突出特色引领，打造美丽建设新样板。一</w:t>
      </w:r>
      <w:r>
        <w:rPr>
          <w:rFonts w:hint="eastAsia" w:ascii="仿宋_GB2312" w:hAnsi="Times New Roman" w:eastAsia="仿宋_GB2312" w:cs="仿宋_GB2312"/>
          <w:b/>
          <w:bCs w:val="0"/>
          <w:color w:val="000000"/>
          <w:sz w:val="32"/>
          <w:szCs w:val="32"/>
          <w:highlight w:val="none"/>
          <w:lang w:eastAsia="zh-CN"/>
        </w:rPr>
        <w:t>是</w:t>
      </w:r>
      <w:r>
        <w:rPr>
          <w:rFonts w:hint="eastAsia" w:ascii="仿宋_GB2312" w:hAnsi="Times New Roman" w:eastAsia="仿宋_GB2312" w:cs="仿宋_GB2312"/>
          <w:b w:val="0"/>
          <w:bCs/>
          <w:color w:val="000000"/>
          <w:sz w:val="32"/>
          <w:szCs w:val="32"/>
          <w:highlight w:val="none"/>
          <w:lang w:val="en-US" w:eastAsia="zh-CN"/>
        </w:rPr>
        <w:t>低碳发展“样板”行动</w:t>
      </w:r>
      <w:r>
        <w:rPr>
          <w:rFonts w:hint="eastAsia" w:ascii="仿宋_GB2312" w:hAnsi="Times New Roman" w:eastAsia="仿宋_GB2312" w:cs="仿宋_GB2312"/>
          <w:b w:val="0"/>
          <w:bCs/>
          <w:color w:val="000000"/>
          <w:sz w:val="32"/>
          <w:szCs w:val="32"/>
          <w:highlight w:val="none"/>
          <w:lang w:eastAsia="zh-CN"/>
        </w:rPr>
        <w:t>，</w:t>
      </w: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14:ligatures w14:val="standardContextual"/>
        </w:rPr>
        <w:t>构建能耗双控向碳排放双控全面转型新机制，健全节约集约制度，因地制宜开发可再生能源。</w:t>
      </w:r>
      <w:r>
        <w:rPr>
          <w:rFonts w:hint="eastAsia" w:ascii="仿宋_GB2312" w:eastAsia="仿宋_GB2312" w:cs="仿宋_GB2312"/>
          <w:b/>
          <w:bCs w:val="0"/>
          <w:color w:val="000000"/>
          <w:sz w:val="32"/>
          <w:szCs w:val="32"/>
          <w:highlight w:val="none"/>
        </w:rPr>
        <w:t>二是</w:t>
      </w:r>
      <w:r>
        <w:rPr>
          <w:rFonts w:hint="eastAsia" w:ascii="仿宋_GB2312" w:eastAsia="仿宋_GB2312" w:cs="仿宋_GB2312"/>
          <w:b w:val="0"/>
          <w:bCs/>
          <w:color w:val="000000"/>
          <w:sz w:val="32"/>
          <w:szCs w:val="32"/>
          <w:highlight w:val="none"/>
        </w:rPr>
        <w:t>安全韧性“样板”行动</w:t>
      </w:r>
      <w:r>
        <w:rPr>
          <w:rFonts w:hint="eastAsia" w:ascii="仿宋_GB2312" w:eastAsia="仿宋_GB2312" w:cs="仿宋_GB2312"/>
          <w:b w:val="0"/>
          <w:bCs/>
          <w:color w:val="000000"/>
          <w:sz w:val="32"/>
          <w:szCs w:val="32"/>
          <w:highlight w:val="none"/>
          <w:lang w:eastAsia="zh-CN"/>
        </w:rPr>
        <w:t>，</w:t>
      </w: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14:ligatures w14:val="standardContextual"/>
        </w:rPr>
        <w:t>健全全域防洪排涝体系，提升防灾减灾和应急救援能力，深化推进气候适应型城市建设。</w:t>
      </w:r>
      <w:r>
        <w:rPr>
          <w:rFonts w:hint="eastAsia" w:ascii="仿宋_GB2312" w:eastAsia="仿宋_GB2312" w:cs="仿宋_GB2312"/>
          <w:b/>
          <w:bCs w:val="0"/>
          <w:color w:val="000000"/>
          <w:sz w:val="32"/>
          <w:szCs w:val="32"/>
          <w:highlight w:val="none"/>
        </w:rPr>
        <w:t>三是</w:t>
      </w:r>
      <w:r>
        <w:rPr>
          <w:rFonts w:hint="eastAsia" w:ascii="仿宋_GB2312" w:eastAsia="仿宋_GB2312" w:cs="仿宋_GB2312"/>
          <w:b w:val="0"/>
          <w:bCs/>
          <w:color w:val="000000"/>
          <w:sz w:val="32"/>
          <w:szCs w:val="32"/>
          <w:highlight w:val="none"/>
        </w:rPr>
        <w:t>生物多样性保护“样板”行动</w:t>
      </w:r>
      <w:r>
        <w:rPr>
          <w:rFonts w:hint="eastAsia" w:ascii="仿宋_GB2312" w:eastAsia="仿宋_GB2312" w:cs="仿宋_GB2312"/>
          <w:b w:val="0"/>
          <w:bCs/>
          <w:color w:val="000000"/>
          <w:sz w:val="32"/>
          <w:szCs w:val="32"/>
          <w:highlight w:val="none"/>
          <w:lang w:eastAsia="zh-CN"/>
        </w:rPr>
        <w:t>，</w:t>
      </w:r>
      <w:r>
        <w:rPr>
          <w:rFonts w:hint="eastAsia" w:ascii="仿宋_GB2312" w:eastAsia="仿宋_GB2312" w:cs="仿宋_GB2312"/>
          <w:b w:val="0"/>
          <w:bCs/>
          <w:color w:val="000000"/>
          <w:sz w:val="32"/>
          <w:szCs w:val="32"/>
          <w:highlight w:val="none"/>
        </w:rPr>
        <w:t>深入落实生物多样性保护行动计划，系统推进生态廊道建设与</w:t>
      </w:r>
      <w:r>
        <w:rPr>
          <w:rFonts w:hint="eastAsia" w:ascii="仿宋_GB2312" w:hAnsi="Times New Roman" w:eastAsia="仿宋_GB2312" w:cs="仿宋_GB2312"/>
          <w:b w:val="0"/>
          <w:bCs/>
          <w:color w:val="000000"/>
          <w:sz w:val="32"/>
          <w:szCs w:val="32"/>
          <w:highlight w:val="none"/>
          <w:lang w:val="en-US" w:eastAsia="zh-CN"/>
        </w:rPr>
        <w:t>智慧监测</w:t>
      </w:r>
      <w:r>
        <w:rPr>
          <w:rFonts w:hint="eastAsia" w:ascii="仿宋_GB2312" w:hAnsi="Times New Roman" w:eastAsia="仿宋_GB2312" w:cs="仿宋_GB2312"/>
          <w:b w:val="0"/>
          <w:bCs/>
          <w:color w:val="000000"/>
          <w:sz w:val="32"/>
          <w:szCs w:val="32"/>
          <w:highlight w:val="none"/>
        </w:rPr>
        <w:t>体系</w:t>
      </w:r>
      <w:r>
        <w:rPr>
          <w:rFonts w:hint="eastAsia" w:ascii="仿宋_GB2312" w:hAnsi="Times New Roman" w:eastAsia="仿宋_GB2312" w:cs="仿宋_GB2312"/>
          <w:b w:val="0"/>
          <w:bCs/>
          <w:color w:val="000000"/>
          <w:sz w:val="32"/>
          <w:szCs w:val="32"/>
          <w:highlight w:val="none"/>
          <w:lang w:eastAsia="zh-CN"/>
        </w:rPr>
        <w:t>建设</w:t>
      </w:r>
      <w:r>
        <w:rPr>
          <w:rFonts w:hint="eastAsia" w:ascii="仿宋_GB2312" w:hAnsi="Times New Roman" w:eastAsia="仿宋_GB2312" w:cs="仿宋_GB2312"/>
          <w:b w:val="0"/>
          <w:bCs/>
          <w:color w:val="000000"/>
          <w:sz w:val="32"/>
          <w:szCs w:val="32"/>
          <w:highlight w:val="none"/>
        </w:rPr>
        <w:t>。</w:t>
      </w:r>
      <w:r>
        <w:rPr>
          <w:rFonts w:hint="eastAsia" w:ascii="仿宋_GB2312" w:hAnsi="Times New Roman" w:eastAsia="仿宋_GB2312" w:cs="仿宋_GB2312"/>
          <w:b/>
          <w:bCs w:val="0"/>
          <w:color w:val="000000"/>
          <w:sz w:val="32"/>
          <w:szCs w:val="32"/>
          <w:highlight w:val="none"/>
          <w:lang w:eastAsia="zh-CN"/>
        </w:rPr>
        <w:t>四是</w:t>
      </w:r>
      <w:r>
        <w:rPr>
          <w:rFonts w:hint="eastAsia" w:ascii="仿宋_GB2312" w:hAnsi="Times New Roman" w:eastAsia="仿宋_GB2312" w:cs="仿宋_GB2312"/>
          <w:b w:val="0"/>
          <w:bCs/>
          <w:color w:val="000000"/>
          <w:sz w:val="32"/>
          <w:szCs w:val="32"/>
          <w:highlight w:val="none"/>
          <w:lang w:eastAsia="zh-CN"/>
        </w:rPr>
        <w:t>诗画乡村“样板”行动，</w:t>
      </w:r>
      <w:r>
        <w:rPr>
          <w:rFonts w:hint="eastAsia" w:ascii="仿宋_GB2312" w:hAnsi="Times New Roman" w:eastAsia="仿宋_GB2312" w:cs="仿宋_GB2312"/>
          <w:b w:val="0"/>
          <w:bCs/>
          <w:color w:val="000000"/>
          <w:sz w:val="32"/>
          <w:szCs w:val="32"/>
          <w:highlight w:val="none"/>
        </w:rPr>
        <w:t>深入实施“百千工程”，实施农村人居环境整治提升行动</w:t>
      </w:r>
      <w:r>
        <w:rPr>
          <w:rFonts w:hint="eastAsia" w:ascii="仿宋_GB2312" w:hAnsi="Times New Roman" w:eastAsia="仿宋_GB2312" w:cs="仿宋_GB2312"/>
          <w:b w:val="0"/>
          <w:bCs/>
          <w:color w:val="000000"/>
          <w:sz w:val="32"/>
          <w:szCs w:val="32"/>
          <w:highlight w:val="none"/>
          <w:lang w:eastAsia="zh-CN"/>
        </w:rPr>
        <w:t>，</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试点推广农宅光伏发电、分布式能源</w:t>
      </w:r>
      <w:r>
        <w:rPr>
          <w:rFonts w:hint="eastAsia" w:ascii="仿宋_GB2312" w:hAnsi="Times New Roman" w:eastAsia="仿宋_GB2312" w:cs="仿宋_GB2312"/>
          <w:b w:val="0"/>
          <w:bCs/>
          <w:color w:val="000000"/>
          <w:sz w:val="32"/>
          <w:szCs w:val="32"/>
          <w:highlight w:val="none"/>
        </w:rPr>
        <w:t>。</w:t>
      </w:r>
    </w:p>
    <w:p w14:paraId="29B9EED8">
      <w:pPr>
        <w:pStyle w:val="4"/>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pPr>
      <w:r>
        <w:rPr>
          <w:rFonts w:hint="eastAsia" w:ascii="仿宋_GB2312" w:eastAsia="仿宋_GB2312" w:cs="仿宋_GB2312"/>
          <w:b/>
          <w:bCs w:val="0"/>
          <w:color w:val="000000"/>
          <w:sz w:val="32"/>
          <w:szCs w:val="32"/>
          <w:highlight w:val="none"/>
          <w:lang w:val="en-US" w:eastAsia="zh-CN"/>
        </w:rPr>
        <w:t>4</w:t>
      </w:r>
      <w:r>
        <w:rPr>
          <w:rFonts w:hint="eastAsia" w:ascii="仿宋_GB2312" w:hAnsi="Times New Roman" w:eastAsia="仿宋_GB2312" w:cs="仿宋_GB2312"/>
          <w:b/>
          <w:bCs w:val="0"/>
          <w:color w:val="000000"/>
          <w:sz w:val="32"/>
          <w:szCs w:val="32"/>
          <w:highlight w:val="none"/>
        </w:rPr>
        <w:t>.坚持改革创新，拓展绿色发展新路径。</w:t>
      </w:r>
      <w:r>
        <w:rPr>
          <w:rFonts w:hint="eastAsia" w:ascii="仿宋_GB2312" w:eastAsia="仿宋_GB2312" w:cs="仿宋_GB2312"/>
          <w:b/>
          <w:bCs w:val="0"/>
          <w:color w:val="000000"/>
          <w:sz w:val="32"/>
          <w:szCs w:val="32"/>
          <w:highlight w:val="none"/>
        </w:rPr>
        <w:t>一是</w:t>
      </w:r>
      <w:r>
        <w:rPr>
          <w:rFonts w:hint="eastAsia" w:ascii="仿宋_GB2312" w:eastAsia="仿宋_GB2312" w:cs="仿宋_GB2312"/>
          <w:b w:val="0"/>
          <w:bCs/>
          <w:color w:val="000000"/>
          <w:sz w:val="32"/>
          <w:szCs w:val="32"/>
          <w:highlight w:val="none"/>
        </w:rPr>
        <w:t>强化导向机制建设</w:t>
      </w:r>
      <w:r>
        <w:rPr>
          <w:rFonts w:hint="eastAsia" w:ascii="仿宋_GB2312" w:eastAsia="仿宋_GB2312" w:cs="仿宋_GB2312"/>
          <w:b w:val="0"/>
          <w:bCs/>
          <w:color w:val="000000"/>
          <w:sz w:val="32"/>
          <w:szCs w:val="32"/>
          <w:highlight w:val="none"/>
          <w:lang w:eastAsia="zh-CN"/>
        </w:rPr>
        <w:t>，</w:t>
      </w:r>
      <w:r>
        <w:rPr>
          <w:rFonts w:hint="eastAsia" w:ascii="仿宋_GB2312" w:eastAsia="仿宋_GB2312" w:cs="仿宋_GB2312"/>
          <w:b w:val="0"/>
          <w:bCs/>
          <w:color w:val="000000"/>
          <w:sz w:val="32"/>
          <w:szCs w:val="32"/>
          <w:highlight w:val="none"/>
        </w:rPr>
        <w:t>健全以GEP为导向的生态立区战略统筹推进机制，</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拓展GEP的成果应用，优化生态文明建设领域财政资源配置，加快建设GEP巩固提升</w:t>
      </w:r>
      <w:r>
        <w:rPr>
          <w:rFonts w:hint="eastAsia" w:ascii="仿宋_GB2312" w:hAnsi="仿宋_GB2312" w:eastAsia="仿宋_GB2312" w:cs="仿宋_GB2312"/>
          <w:b w:val="0"/>
          <w:bCs w:val="0"/>
          <w:sz w:val="32"/>
          <w:szCs w:val="32"/>
          <w:highlight w:val="none"/>
          <w:lang w:val="en-US" w:eastAsia="zh-CN"/>
        </w:rPr>
        <w:t>项目库。</w:t>
      </w:r>
      <w:r>
        <w:rPr>
          <w:rFonts w:hint="eastAsia" w:ascii="仿宋_GB2312" w:eastAsia="仿宋_GB2312" w:cs="仿宋_GB2312"/>
          <w:b/>
          <w:bCs w:val="0"/>
          <w:color w:val="000000"/>
          <w:sz w:val="32"/>
          <w:szCs w:val="32"/>
          <w:highlight w:val="none"/>
        </w:rPr>
        <w:t>二是</w:t>
      </w:r>
      <w:r>
        <w:rPr>
          <w:rFonts w:hint="eastAsia" w:ascii="仿宋_GB2312" w:eastAsia="仿宋_GB2312" w:cs="仿宋_GB2312"/>
          <w:b w:val="0"/>
          <w:bCs/>
          <w:color w:val="000000"/>
          <w:sz w:val="32"/>
          <w:szCs w:val="32"/>
          <w:highlight w:val="none"/>
        </w:rPr>
        <w:t>巩固VEP试点成效</w:t>
      </w:r>
      <w:r>
        <w:rPr>
          <w:rFonts w:hint="eastAsia" w:ascii="仿宋_GB2312" w:eastAsia="仿宋_GB2312" w:cs="仿宋_GB2312"/>
          <w:b w:val="0"/>
          <w:bCs/>
          <w:color w:val="000000"/>
          <w:sz w:val="32"/>
          <w:szCs w:val="32"/>
          <w:highlight w:val="none"/>
          <w:lang w:eastAsia="zh-CN"/>
        </w:rPr>
        <w:t>，</w:t>
      </w:r>
      <w:r>
        <w:rPr>
          <w:rFonts w:hint="eastAsia" w:ascii="仿宋_GB2312" w:hAnsi="仿宋_GB2312" w:eastAsia="仿宋_GB2312" w:cs="仿宋_GB2312"/>
          <w:b w:val="0"/>
          <w:bCs w:val="0"/>
          <w:color w:val="000000" w:themeColor="text1"/>
          <w:kern w:val="2"/>
          <w:sz w:val="32"/>
          <w:szCs w:val="32"/>
          <w:highlight w:val="none"/>
          <w:lang w:val="en-US" w:eastAsia="zh-CN" w:bidi="ar-SA"/>
          <w14:textFill>
            <w14:solidFill>
              <w14:schemeClr w14:val="tx1"/>
            </w14:solidFill>
          </w14:textFill>
          <w14:ligatures w14:val="standardContextual"/>
        </w:rPr>
        <w:t>提速特定地域单元生态产品价值评估及市场化应用，</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实现重点业态试运营。</w:t>
      </w:r>
      <w:r>
        <w:rPr>
          <w:rFonts w:hint="eastAsia" w:ascii="仿宋_GB2312" w:eastAsia="仿宋_GB2312" w:cs="仿宋_GB2312"/>
          <w:b/>
          <w:bCs w:val="0"/>
          <w:color w:val="000000"/>
          <w:sz w:val="32"/>
          <w:szCs w:val="32"/>
          <w:highlight w:val="none"/>
        </w:rPr>
        <w:t>三是</w:t>
      </w:r>
      <w:r>
        <w:rPr>
          <w:rFonts w:hint="eastAsia" w:ascii="仿宋_GB2312" w:eastAsia="仿宋_GB2312" w:cs="仿宋_GB2312"/>
          <w:b w:val="0"/>
          <w:bCs/>
          <w:color w:val="000000"/>
          <w:sz w:val="32"/>
          <w:szCs w:val="32"/>
          <w:highlight w:val="none"/>
        </w:rPr>
        <w:t>深化“两山”转化探索</w:t>
      </w:r>
      <w:r>
        <w:rPr>
          <w:rFonts w:hint="eastAsia" w:ascii="仿宋_GB2312" w:eastAsia="仿宋_GB2312" w:cs="仿宋_GB2312"/>
          <w:b w:val="0"/>
          <w:bCs/>
          <w:color w:val="000000"/>
          <w:sz w:val="32"/>
          <w:szCs w:val="32"/>
          <w:highlight w:val="none"/>
          <w:lang w:eastAsia="zh-CN"/>
        </w:rPr>
        <w:t>，</w:t>
      </w:r>
      <w:r>
        <w:rPr>
          <w:rFonts w:hint="eastAsia" w:ascii="仿宋_GB2312" w:hAnsi="仿宋_GB2312" w:eastAsia="仿宋_GB2312" w:cs="仿宋_GB2312"/>
          <w:sz w:val="32"/>
          <w:szCs w:val="32"/>
          <w:highlight w:val="none"/>
          <w:lang w:val="en-US" w:eastAsia="zh-CN"/>
          <w14:ligatures w14:val="standardContextual"/>
        </w:rPr>
        <w:t>健全完善跨部门协同联动的生态产业发展保障机制，</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t>拓展</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生态产品价值</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t>转化路径</w:t>
      </w:r>
      <w:r>
        <w:rPr>
          <w:rFonts w:hint="eastAsia" w:ascii="仿宋_GB2312" w:eastAsia="仿宋_GB2312" w:cs="仿宋_GB2312"/>
          <w:b w:val="0"/>
          <w:bCs/>
          <w:color w:val="000000"/>
          <w:sz w:val="32"/>
          <w:szCs w:val="32"/>
          <w:highlight w:val="none"/>
        </w:rPr>
        <w:t>。</w:t>
      </w:r>
      <w:r>
        <w:rPr>
          <w:rFonts w:hint="eastAsia" w:ascii="仿宋_GB2312" w:eastAsia="仿宋_GB2312" w:cs="仿宋_GB2312"/>
          <w:b/>
          <w:bCs w:val="0"/>
          <w:color w:val="000000"/>
          <w:sz w:val="32"/>
          <w:szCs w:val="32"/>
          <w:highlight w:val="none"/>
          <w:lang w:eastAsia="zh-CN"/>
        </w:rPr>
        <w:t>四是</w:t>
      </w:r>
      <w:r>
        <w:rPr>
          <w:rFonts w:hint="eastAsia" w:ascii="仿宋_GB2312" w:hAnsi="仿宋_GB2312" w:eastAsia="仿宋_GB2312" w:cs="仿宋_GB2312"/>
          <w:b w:val="0"/>
          <w:bCs/>
          <w:color w:val="000000" w:themeColor="text1"/>
          <w:sz w:val="32"/>
          <w:szCs w:val="32"/>
          <w:highlight w:val="none"/>
          <w:lang w:val="en-US" w:eastAsia="zh-CN"/>
          <w14:textFill>
            <w14:solidFill>
              <w14:schemeClr w14:val="tx1"/>
            </w14:solidFill>
          </w14:textFill>
          <w14:ligatures w14:val="standardContextual"/>
        </w:rPr>
        <w:t>培育生态文明主流价值观，</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建立健全以生态价值观念为准则的生态文化体系，</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加强生态文明宣传教育，</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t>积极打造美丽校园，</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健全生态文明共建共治共享机制。</w:t>
      </w: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14:ligatures w14:val="standardContextual"/>
        </w:rPr>
        <w:t>五是</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深化区域协同共治，</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探索重要生态空间保护与发展协同机制</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t>，深</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化</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京冀地区重点</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t>生态保育功能区</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一体化协同保护与</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t>修复，</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探索</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构建跨区域生物多样性保护联盟</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t>。</w:t>
      </w:r>
    </w:p>
    <w:p w14:paraId="494261B7">
      <w:pPr>
        <w:pStyle w:val="5"/>
        <w:rPr>
          <w:rFonts w:hint="eastAsia"/>
          <w:lang w:val="en-US" w:eastAsia="zh-CN"/>
        </w:rPr>
      </w:pPr>
    </w:p>
    <w:p w14:paraId="448F2A9C">
      <w:pPr>
        <w:pStyle w:val="5"/>
        <w:keepNext w:val="0"/>
        <w:keepLines w:val="0"/>
        <w:pageBreakBefore w:val="0"/>
        <w:widowControl w:val="0"/>
        <w:kinsoku/>
        <w:wordWrap/>
        <w:overflowPunct/>
        <w:topLinePunct w:val="0"/>
        <w:autoSpaceDE/>
        <w:autoSpaceDN/>
        <w:bidi w:val="0"/>
        <w:adjustRightInd/>
        <w:spacing w:line="560" w:lineRule="exact"/>
        <w:ind w:firstLine="320" w:firstLineChars="100"/>
        <w:textAlignment w:val="auto"/>
        <w:rPr>
          <w:rFonts w:hint="eastAsia" w:ascii="仿宋_GB2312" w:eastAsia="仿宋_GB2312" w:cs="仿宋_GB2312"/>
          <w:bCs/>
          <w:color w:val="000000"/>
          <w:sz w:val="32"/>
          <w:szCs w:val="32"/>
          <w:lang w:val="en-US" w:eastAsia="zh-CN"/>
        </w:rPr>
      </w:pPr>
      <w:r>
        <w:rPr>
          <w:rFonts w:hint="eastAsia" w:ascii="仿宋_GB2312" w:eastAsia="仿宋_GB2312" w:cs="仿宋_GB2312"/>
          <w:bCs/>
          <w:color w:val="000000"/>
          <w:sz w:val="32"/>
          <w:szCs w:val="32"/>
          <w:lang w:val="en-US" w:eastAsia="zh-CN"/>
        </w:rPr>
        <w:t>北京市门头沟区生态环境局</w:t>
      </w:r>
    </w:p>
    <w:p w14:paraId="4732E35D">
      <w:pPr>
        <w:pStyle w:val="5"/>
        <w:keepNext w:val="0"/>
        <w:keepLines w:val="0"/>
        <w:pageBreakBefore w:val="0"/>
        <w:widowControl w:val="0"/>
        <w:kinsoku/>
        <w:wordWrap/>
        <w:overflowPunct/>
        <w:topLinePunct w:val="0"/>
        <w:autoSpaceDE/>
        <w:autoSpaceDN/>
        <w:bidi w:val="0"/>
        <w:adjustRightInd/>
        <w:spacing w:line="560" w:lineRule="exact"/>
        <w:ind w:firstLine="960" w:firstLineChars="300"/>
        <w:textAlignment w:val="auto"/>
        <w:rPr>
          <w:rFonts w:hint="eastAsia"/>
          <w:sz w:val="32"/>
          <w:szCs w:val="32"/>
        </w:rPr>
      </w:pPr>
      <w:r>
        <w:rPr>
          <w:rFonts w:hint="eastAsia" w:ascii="仿宋_GB2312" w:eastAsia="仿宋_GB2312" w:cs="仿宋_GB2312"/>
          <w:bCs/>
          <w:color w:val="000000"/>
          <w:sz w:val="32"/>
          <w:szCs w:val="32"/>
          <w:lang w:val="en-US" w:eastAsia="zh-CN"/>
        </w:rPr>
        <w:t>2026年3月13日</w:t>
      </w:r>
    </w:p>
    <w:p w14:paraId="39D59585">
      <w:pPr>
        <w:rPr>
          <w:rFonts w:hint="eastAsia" w:eastAsiaTheme="minorEastAsia"/>
          <w:lang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7A5700"/>
    <w:multiLevelType w:val="singleLevel"/>
    <w:tmpl w:val="587A5700"/>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5D2209"/>
    <w:rsid w:val="485D2209"/>
    <w:rsid w:val="7F3341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iPriority="99"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w:basedOn w:val="1"/>
    <w:next w:val="3"/>
    <w:qFormat/>
    <w:uiPriority w:val="0"/>
    <w:pPr>
      <w:spacing w:after="140" w:line="276" w:lineRule="auto"/>
    </w:pPr>
  </w:style>
  <w:style w:type="paragraph" w:customStyle="1" w:styleId="3">
    <w:name w:val="TOC 11"/>
    <w:next w:val="1"/>
    <w:qFormat/>
    <w:uiPriority w:val="0"/>
    <w:pPr>
      <w:wordWrap w:val="0"/>
      <w:jc w:val="both"/>
    </w:pPr>
    <w:rPr>
      <w:rFonts w:ascii="Calibri" w:hAnsi="Calibri" w:eastAsia="宋体" w:cs="Times New Roman"/>
      <w:sz w:val="21"/>
      <w:szCs w:val="22"/>
      <w:lang w:val="en-US" w:eastAsia="zh-CN" w:bidi="ar-SA"/>
    </w:rPr>
  </w:style>
  <w:style w:type="paragraph" w:styleId="4">
    <w:name w:val="Plain Text"/>
    <w:basedOn w:val="1"/>
    <w:next w:val="5"/>
    <w:qFormat/>
    <w:uiPriority w:val="0"/>
    <w:rPr>
      <w:rFonts w:ascii="宋体" w:hAnsi="Courier New" w:cs="Courier New"/>
      <w:szCs w:val="21"/>
    </w:rPr>
  </w:style>
  <w:style w:type="paragraph" w:styleId="5">
    <w:name w:val="index 9"/>
    <w:basedOn w:val="1"/>
    <w:next w:val="1"/>
    <w:unhideWhenUsed/>
    <w:qFormat/>
    <w:uiPriority w:val="99"/>
    <w:pPr>
      <w:suppressAutoHyphens w:val="0"/>
      <w:ind w:left="1600" w:leftChars="1600"/>
    </w:pPr>
    <w:rPr>
      <w:rFonts w:cs="Calibri"/>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1584</Words>
  <Characters>1616</Characters>
  <Lines>0</Lines>
  <Paragraphs>0</Paragraphs>
  <TotalTime>3</TotalTime>
  <ScaleCrop>false</ScaleCrop>
  <LinksUpToDate>false</LinksUpToDate>
  <CharactersWithSpaces>1618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2026-03-06T02:54:00Z</dcterms:created>
  <dc:creator>Αστέρια</dc:creator>
  <cp:lastModifiedBy>Αστέρια</cp:lastModifiedBy>
  <dcterms:modified xsi:type="dcterms:W3CDTF">2026-03-12T08:03:17Z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D25279062EB14FE79FCBCA6D6C9CDFC6_11</vt:lpwstr>
  </property>
  <property fmtid="{D5CDD505-2E9C-101B-9397-08002B2CF9AE}" pid="4" name="KSOTemplateDocerSaveRecord">
    <vt:lpwstr>eyJoZGlkIjoiNmJmMjY2ZTM0ZGIwNWU0NDQ2MzgxMDc0YmRiM2U1ODUiLCJ1c2VySWQiOiIyMDQyNTIyMTcifQ==</vt:lpwstr>
  </property>
</Properties>
</file>