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11094">
      <w:pPr>
        <w:spacing w:line="360" w:lineRule="exact"/>
        <w:rPr>
          <w:rFonts w:hint="eastAsia" w:ascii="黑体" w:eastAsia="黑体"/>
          <w:color w:val="000000" w:themeColor="text1"/>
          <w:spacing w:val="56"/>
          <w:sz w:val="28"/>
          <w:szCs w:val="28"/>
        </w:rPr>
      </w:pPr>
      <w:r>
        <w:rPr>
          <w:rFonts w:hint="eastAsia" w:ascii="黑体" w:eastAsia="黑体"/>
          <w:color w:val="000000" w:themeColor="text1"/>
          <w:sz w:val="28"/>
          <w:szCs w:val="28"/>
        </w:rPr>
        <w:t>附件2</w:t>
      </w:r>
    </w:p>
    <w:p w14:paraId="7A6AC224">
      <w:pPr>
        <w:pStyle w:val="7"/>
      </w:pPr>
    </w:p>
    <w:p w14:paraId="19532F0F">
      <w:pPr>
        <w:spacing w:line="560" w:lineRule="exact"/>
        <w:jc w:val="center"/>
        <w:rPr>
          <w:rFonts w:ascii="方正小标宋简体" w:hAnsi="方正小标宋简体" w:eastAsia="方正小标宋简体" w:cs="方正小标宋简体"/>
          <w:bCs/>
          <w:color w:val="000000" w:themeColor="text1"/>
          <w:spacing w:val="-17"/>
          <w:sz w:val="36"/>
          <w:szCs w:val="36"/>
        </w:rPr>
      </w:pPr>
      <w:r>
        <w:rPr>
          <w:rFonts w:hint="eastAsia" w:ascii="方正小标宋简体" w:hAnsi="方正小标宋简体" w:eastAsia="方正小标宋简体" w:cs="方正小标宋简体"/>
          <w:bCs/>
          <w:color w:val="000000" w:themeColor="text1"/>
          <w:spacing w:val="-17"/>
          <w:sz w:val="36"/>
          <w:szCs w:val="36"/>
        </w:rPr>
        <w:t>《门头沟区“十五五”时期民政事业发展规划》的起草说明</w:t>
      </w:r>
    </w:p>
    <w:p w14:paraId="2664E87D">
      <w:pPr>
        <w:spacing w:line="560" w:lineRule="exact"/>
        <w:ind w:firstLine="640" w:firstLineChars="200"/>
        <w:rPr>
          <w:rFonts w:ascii="仿宋_GB2312" w:hAnsi="仿宋_GB2312" w:eastAsia="仿宋_GB2312" w:cs="仿宋_GB2312"/>
          <w:color w:val="000000" w:themeColor="text1"/>
          <w:sz w:val="32"/>
          <w:szCs w:val="32"/>
        </w:rPr>
      </w:pPr>
    </w:p>
    <w:p w14:paraId="5232E84A">
      <w:pPr>
        <w:spacing w:line="560" w:lineRule="exact"/>
        <w:ind w:firstLine="640" w:firstLineChars="200"/>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一、</w:t>
      </w:r>
      <w:r>
        <w:rPr>
          <w:rFonts w:hint="eastAsia" w:ascii="黑体" w:hAnsi="黑体" w:eastAsia="黑体" w:cs="黑体"/>
          <w:color w:val="000000" w:themeColor="text1"/>
          <w:sz w:val="32"/>
          <w:szCs w:val="32"/>
          <w:lang w:eastAsia="zh-CN"/>
        </w:rPr>
        <w:t>规划</w:t>
      </w:r>
      <w:r>
        <w:rPr>
          <w:rFonts w:hint="eastAsia" w:ascii="黑体" w:hAnsi="黑体" w:eastAsia="黑体" w:cs="黑体"/>
          <w:color w:val="000000" w:themeColor="text1"/>
          <w:sz w:val="32"/>
          <w:szCs w:val="32"/>
        </w:rPr>
        <w:t>背景</w:t>
      </w:r>
    </w:p>
    <w:p w14:paraId="23F9C29D">
      <w:pPr>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sz w:val="32"/>
          <w:szCs w:val="32"/>
          <w:lang w:eastAsia="zh-CN"/>
        </w:rPr>
        <w:t>本规划</w:t>
      </w:r>
      <w:r>
        <w:rPr>
          <w:rFonts w:hint="eastAsia" w:ascii="仿宋_GB2312" w:hAnsi="仿宋_GB2312" w:eastAsia="仿宋_GB2312" w:cs="仿宋_GB2312"/>
          <w:sz w:val="32"/>
          <w:szCs w:val="32"/>
        </w:rPr>
        <w:t>以习近平新时代中国特色社会主义思想为指导，全面贯彻党的二十大和二十届历次全会精神，深入学习贯彻习近平总书记关于民政工作的重要论述和考察北京重要讲话精神，全面落实党中央、国务院决策部署及市委、市政府、区委、区政府工作要求，牢牢把握“看北京首先要从政治上看”的根本要求，坚持以人民为中心的发展思想，深入践行民政工作“保基本、兜底线、暖民心、防风险、促发展”的职责使命。以推动民政事业高质量发展为主题</w:t>
      </w:r>
      <w:r>
        <w:rPr>
          <w:rFonts w:hint="eastAsia" w:ascii="仿宋_GB2312" w:hAnsi="仿宋_GB2312" w:eastAsia="仿宋_GB2312" w:cs="仿宋_GB2312"/>
          <w:color w:val="000000" w:themeColor="text1"/>
          <w:sz w:val="32"/>
          <w:szCs w:val="32"/>
        </w:rPr>
        <w:t>，提出“十</w:t>
      </w:r>
      <w:r>
        <w:rPr>
          <w:rFonts w:hint="eastAsia" w:ascii="仿宋_GB2312" w:hAnsi="仿宋_GB2312" w:eastAsia="仿宋_GB2312" w:cs="仿宋_GB2312"/>
          <w:color w:val="000000" w:themeColor="text1"/>
          <w:sz w:val="32"/>
          <w:szCs w:val="32"/>
          <w:lang w:eastAsia="zh-CN"/>
        </w:rPr>
        <w:t>五</w:t>
      </w:r>
      <w:r>
        <w:rPr>
          <w:rFonts w:hint="eastAsia" w:ascii="仿宋_GB2312" w:hAnsi="仿宋_GB2312" w:eastAsia="仿宋_GB2312" w:cs="仿宋_GB2312"/>
          <w:color w:val="000000" w:themeColor="text1"/>
          <w:sz w:val="32"/>
          <w:szCs w:val="32"/>
        </w:rPr>
        <w:t>五”时期门头沟区民政事业发展的</w:t>
      </w:r>
      <w:r>
        <w:rPr>
          <w:rFonts w:hint="eastAsia" w:ascii="仿宋_GB2312" w:hAnsi="仿宋_GB2312" w:eastAsia="仿宋_GB2312" w:cs="仿宋_GB2312"/>
          <w:sz w:val="32"/>
          <w:szCs w:val="32"/>
          <w:highlight w:val="none"/>
          <w:lang w:val="en-US" w:eastAsia="zh-CN"/>
        </w:rPr>
        <w:t>指导方针、基本原则、总体目标、</w:t>
      </w:r>
      <w:r>
        <w:rPr>
          <w:rFonts w:hint="eastAsia" w:ascii="仿宋_GB2312" w:hAnsi="仿宋_GB2312" w:eastAsia="仿宋_GB2312" w:cs="仿宋_GB2312"/>
          <w:color w:val="000000" w:themeColor="text1"/>
          <w:sz w:val="32"/>
          <w:szCs w:val="32"/>
        </w:rPr>
        <w:t>重点任务和保障措施，是统筹推进未来五年本区民政公共服务发展和改革的综合性、指导性文件，是制定实施各项社会政策、编制民政公共服务工作计划的重要依据。</w:t>
      </w:r>
    </w:p>
    <w:p w14:paraId="1639EA55">
      <w:pPr>
        <w:spacing w:line="560" w:lineRule="exact"/>
        <w:ind w:firstLine="640" w:firstLineChars="200"/>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二、起草过程</w:t>
      </w:r>
    </w:p>
    <w:p w14:paraId="798171B1">
      <w:pPr>
        <w:spacing w:line="560" w:lineRule="exact"/>
        <w:ind w:firstLine="640" w:firstLineChars="200"/>
        <w:rPr>
          <w:rFonts w:ascii="黑体" w:hAnsi="黑体" w:eastAsia="黑体" w:cs="黑体"/>
          <w:color w:val="000000" w:themeColor="text1"/>
          <w:sz w:val="32"/>
          <w:szCs w:val="32"/>
        </w:rPr>
      </w:pPr>
      <w:r>
        <w:rPr>
          <w:rFonts w:hint="eastAsia" w:ascii="仿宋_GB2312" w:hAnsi="仿宋_GB2312" w:eastAsia="仿宋_GB2312" w:cs="仿宋_GB2312"/>
          <w:color w:val="000000" w:themeColor="text1"/>
          <w:sz w:val="32"/>
          <w:szCs w:val="32"/>
        </w:rPr>
        <w:t>《门头沟区“十五五”时期民政事业发展规划</w:t>
      </w:r>
      <w:r>
        <w:rPr>
          <w:rFonts w:hint="eastAsia" w:ascii="仿宋_GB2312" w:hAnsi="仿宋_GB2312" w:eastAsia="仿宋_GB2312" w:cs="仿宋_GB2312"/>
          <w:color w:val="000000" w:themeColor="text1"/>
          <w:sz w:val="32"/>
          <w:szCs w:val="32"/>
          <w:lang w:eastAsia="zh-CN"/>
        </w:rPr>
        <w:t>（征求意见稿</w:t>
      </w:r>
      <w:r>
        <w:rPr>
          <w:rFonts w:hint="eastAsia" w:ascii="仿宋_GB2312" w:hAnsi="仿宋_GB2312" w:eastAsia="仿宋_GB2312" w:cs="仿宋_GB2312"/>
          <w:color w:val="000000" w:themeColor="text1"/>
          <w:sz w:val="32"/>
          <w:szCs w:val="32"/>
        </w:rPr>
        <w:t>）》已向相关单位征求意见并修改完善，经局内专题会研究和局长办公会、党</w:t>
      </w:r>
      <w:r>
        <w:rPr>
          <w:rFonts w:hint="eastAsia" w:ascii="仿宋_GB2312" w:hAnsi="仿宋_GB2312" w:eastAsia="仿宋_GB2312" w:cs="仿宋_GB2312"/>
          <w:color w:val="000000" w:themeColor="text1"/>
          <w:sz w:val="32"/>
          <w:szCs w:val="32"/>
          <w:lang w:eastAsia="zh-CN"/>
        </w:rPr>
        <w:t>组</w:t>
      </w:r>
      <w:r>
        <w:rPr>
          <w:rFonts w:hint="eastAsia" w:ascii="仿宋_GB2312" w:hAnsi="仿宋_GB2312" w:eastAsia="仿宋_GB2312" w:cs="仿宋_GB2312"/>
          <w:color w:val="000000" w:themeColor="text1"/>
          <w:sz w:val="32"/>
          <w:szCs w:val="32"/>
        </w:rPr>
        <w:t>会审议通过。</w:t>
      </w:r>
    </w:p>
    <w:p w14:paraId="161BD268">
      <w:pPr>
        <w:spacing w:line="560" w:lineRule="exact"/>
        <w:ind w:firstLine="640" w:firstLineChars="200"/>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三、主要内容</w:t>
      </w:r>
    </w:p>
    <w:p w14:paraId="0AA36C3F">
      <w:pPr>
        <w:spacing w:line="560" w:lineRule="exact"/>
        <w:ind w:firstLine="640" w:firstLineChars="200"/>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（一）</w:t>
      </w:r>
      <w:r>
        <w:rPr>
          <w:rFonts w:hint="eastAsia" w:ascii="楷体_GB2312" w:hAnsi="楷体_GB2312" w:eastAsia="楷体_GB2312" w:cs="楷体_GB2312"/>
          <w:color w:val="000000" w:themeColor="text1"/>
          <w:sz w:val="32"/>
          <w:szCs w:val="32"/>
          <w14:textFill>
            <w14:solidFill>
              <w14:schemeClr w14:val="tx1"/>
            </w14:solidFill>
          </w14:textFill>
        </w:rPr>
        <w:t>建设城乡统筹的高质量老龄养老服务工作体系</w:t>
      </w:r>
    </w:p>
    <w:p w14:paraId="6B6E52D9">
      <w:pPr>
        <w:spacing w:line="560" w:lineRule="exact"/>
        <w:jc w:val="center"/>
        <w:rPr>
          <w:rFonts w:ascii="黑体" w:hAnsi="黑体" w:eastAsia="黑体" w:cs="黑体"/>
          <w:sz w:val="36"/>
          <w:szCs w:val="36"/>
        </w:rPr>
      </w:pPr>
    </w:p>
    <w:p w14:paraId="3CFA2503">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结合门头沟区人口老龄化发展实际，</w:t>
      </w:r>
      <w:r>
        <w:rPr>
          <w:rFonts w:hint="eastAsia" w:ascii="仿宋_GB2312" w:hAnsi="仿宋_GB2312" w:eastAsia="仿宋_GB2312" w:cs="仿宋_GB2312"/>
          <w:sz w:val="32"/>
          <w:szCs w:val="32"/>
          <w:lang w:eastAsia="zh-CN"/>
        </w:rPr>
        <w:t>立足</w:t>
      </w:r>
      <w:r>
        <w:rPr>
          <w:rFonts w:hint="eastAsia" w:ascii="仿宋_GB2312" w:hAnsi="仿宋_GB2312" w:eastAsia="仿宋_GB2312" w:cs="仿宋_GB2312"/>
          <w:sz w:val="32"/>
          <w:szCs w:val="32"/>
        </w:rPr>
        <w:t>首都生态涵养区资源优势和“京西福地”区域品牌，坚守“如我养老”的价值追求，坚持“居家为主、村居支持、机构托底”的服务方向，遵循“需求牵引、系统谋划、治理思维”的工作路径，保持“城乡统筹、因地制宜、分类施策”的工作思路，形成“医养结合、残老结合、幼老结合”的工作合力，把握“尽力而为、量力而行、循序渐进、提质增效”发展节奏，构建新型养老服务体系，增强老年人获得感、幸福感、安全感。</w:t>
      </w:r>
    </w:p>
    <w:p w14:paraId="030B0014">
      <w:pPr>
        <w:spacing w:line="560" w:lineRule="exact"/>
        <w:ind w:firstLine="640" w:firstLineChars="200"/>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（二）</w:t>
      </w:r>
      <w:r>
        <w:rPr>
          <w:rFonts w:hint="eastAsia" w:ascii="楷体_GB2312" w:hAnsi="楷体_GB2312" w:eastAsia="楷体_GB2312" w:cs="楷体_GB2312"/>
          <w:color w:val="000000" w:themeColor="text1"/>
          <w:sz w:val="32"/>
          <w:szCs w:val="32"/>
          <w14:textFill>
            <w14:solidFill>
              <w14:schemeClr w14:val="tx1"/>
            </w14:solidFill>
          </w14:textFill>
        </w:rPr>
        <w:t>健全分层分类、精准高效的社会救助体系</w:t>
      </w:r>
    </w:p>
    <w:p w14:paraId="1C62B8E8">
      <w:pPr>
        <w:spacing w:line="560" w:lineRule="exact"/>
        <w:ind w:firstLine="640" w:firstLineChars="200"/>
        <w:rPr>
          <w:rFonts w:ascii="仿宋_GB2312" w:hAnsi="仿宋_GB2312" w:eastAsia="仿宋_GB2312" w:cs="仿宋_GB2312"/>
          <w:sz w:val="32"/>
          <w:szCs w:val="32"/>
        </w:rPr>
      </w:pPr>
      <w:bookmarkStart w:id="0" w:name="_Toc105573153"/>
      <w:r>
        <w:rPr>
          <w:rFonts w:hint="eastAsia" w:ascii="仿宋_GB2312" w:hAnsi="仿宋_GB2312" w:eastAsia="仿宋_GB2312" w:cs="仿宋_GB2312"/>
          <w:sz w:val="32"/>
          <w:szCs w:val="32"/>
        </w:rPr>
        <w:t>立足门头沟区生态涵养区功能定位，针对城乡发展差异大、低收入人口分散、自然灾害易发等区情实际，持续完善以基本生活救助为基础、专项救助为支撑、社会力量参与为补充的分层分类救助体系。推动社会救助由“被动响应”向“主动发现”转变、由“单一保障”向“综合帮扶”拓展，努力构建更加精准、公平、可持续的社会救助格局，切实兜住兜准兜牢民生底线。</w:t>
      </w:r>
    </w:p>
    <w:bookmarkEnd w:id="0"/>
    <w:p w14:paraId="2973136F">
      <w:pPr>
        <w:spacing w:line="560" w:lineRule="exact"/>
        <w:ind w:firstLine="640" w:firstLineChars="200"/>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（三）</w:t>
      </w:r>
      <w:bookmarkStart w:id="1" w:name="_GoBack"/>
      <w:bookmarkEnd w:id="1"/>
      <w:r>
        <w:rPr>
          <w:rFonts w:hint="eastAsia" w:ascii="楷体_GB2312" w:hAnsi="楷体_GB2312" w:eastAsia="楷体_GB2312" w:cs="楷体_GB2312"/>
          <w:color w:val="000000" w:themeColor="text1"/>
          <w:sz w:val="32"/>
          <w:szCs w:val="32"/>
          <w14:textFill>
            <w14:solidFill>
              <w14:schemeClr w14:val="tx1"/>
            </w14:solidFill>
          </w14:textFill>
        </w:rPr>
        <w:t>完善社会福利体系，优化特殊群体关爱服务</w:t>
      </w:r>
    </w:p>
    <w:p w14:paraId="327E900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保基本、兜底线、促普惠的总体思路，聚焦老年人、残疾人、困境儿童等特殊群体的基本生活、康复照护和社会融入需求，持续健全社会福利制度体系，优化福利服务网络布局，不断提升社会福利保障水平和公共服务质量，努力实现“服务更加普惠、保障更加精准、生活更加有尊严”的发展目标。</w:t>
      </w:r>
    </w:p>
    <w:p w14:paraId="5D522441">
      <w:pPr>
        <w:spacing w:line="560" w:lineRule="exact"/>
        <w:ind w:firstLine="640" w:firstLineChars="200"/>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（四）</w:t>
      </w:r>
      <w:r>
        <w:rPr>
          <w:rFonts w:hint="eastAsia" w:ascii="楷体_GB2312" w:hAnsi="楷体_GB2312" w:eastAsia="楷体_GB2312" w:cs="楷体_GB2312"/>
          <w:color w:val="000000" w:themeColor="text1"/>
          <w:sz w:val="32"/>
          <w:szCs w:val="32"/>
          <w14:textFill>
            <w14:solidFill>
              <w14:schemeClr w14:val="tx1"/>
            </w14:solidFill>
          </w14:textFill>
        </w:rPr>
        <w:t>提升社会事务管理与公共服务水平</w:t>
      </w:r>
    </w:p>
    <w:p w14:paraId="2F425D4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聚焦人民群众普遍关切的婚姻登记、殡葬服务、见义勇为权益保障等重点领域，坚持“以人民为中心”的服务导向，持续深化“放管服”改革，优化公共服务流程，完善基础设施建设，推动专项社会事务管理服务标准化、便民化、人文化、智能化，不断提升群众获得感与满意度。</w:t>
      </w:r>
    </w:p>
    <w:p w14:paraId="73E8EF6A">
      <w:pPr>
        <w:spacing w:line="560" w:lineRule="exact"/>
        <w:ind w:firstLine="640" w:firstLineChars="200"/>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（五）</w:t>
      </w:r>
      <w:r>
        <w:rPr>
          <w:rFonts w:hint="eastAsia" w:ascii="楷体_GB2312" w:hAnsi="楷体_GB2312" w:eastAsia="楷体_GB2312" w:cs="楷体_GB2312"/>
          <w:color w:val="000000" w:themeColor="text1"/>
          <w:sz w:val="32"/>
          <w:szCs w:val="32"/>
          <w14:textFill>
            <w14:solidFill>
              <w14:schemeClr w14:val="tx1"/>
            </w14:solidFill>
          </w14:textFill>
        </w:rPr>
        <w:t>推进社会治理体系建设，激发社会活力</w:t>
      </w:r>
    </w:p>
    <w:p w14:paraId="0726B49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紧密围绕区域功能定位和绿色高质量转型发展主线,以提升社会治理现代化水平为目标，着力完善社会组织管理体制和支持政策，培育多元社会力量参与基层治理、公共服务和民生保障，推动慈善事业高质量发展，稳慎推进行政区划管理，构建活力充沛、协同高效、法治有序的社会治理新格局，持续增强社会凝聚力、创新力与自我调节能力。</w:t>
      </w:r>
    </w:p>
    <w:p w14:paraId="08D0CF4C">
      <w:pPr>
        <w:spacing w:line="560" w:lineRule="exact"/>
        <w:ind w:firstLine="640" w:firstLineChars="200"/>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（六）</w:t>
      </w:r>
      <w:r>
        <w:rPr>
          <w:rFonts w:hint="eastAsia" w:ascii="楷体_GB2312" w:hAnsi="楷体_GB2312" w:eastAsia="楷体_GB2312" w:cs="楷体_GB2312"/>
          <w:color w:val="000000" w:themeColor="text1"/>
          <w:sz w:val="32"/>
          <w:szCs w:val="32"/>
          <w14:textFill>
            <w14:solidFill>
              <w14:schemeClr w14:val="tx1"/>
            </w14:solidFill>
          </w14:textFill>
        </w:rPr>
        <w:t>保障红十字事业稳健有序发展</w:t>
      </w:r>
    </w:p>
    <w:p w14:paraId="546FA92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以习近平新时代中国特色社会主义思想为指导，深入贯彻落实习近平总书记关于红十字事业重要指示批示精神，紧紧围绕服务区域发展大局和人民群众人道需求，聚焦主责主业，深化改革创新，夯实工作基础，着力提升人道服务水平、人道救助能力，推动门头沟区红十字事业在“十五五”时期实现更高质量、更有效率、更可持续的发展。</w:t>
      </w:r>
    </w:p>
    <w:p w14:paraId="5458484A">
      <w:pPr>
        <w:spacing w:line="560" w:lineRule="exact"/>
        <w:ind w:firstLine="640" w:firstLineChars="200"/>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（七）</w:t>
      </w:r>
      <w:r>
        <w:rPr>
          <w:rFonts w:hint="eastAsia" w:ascii="楷体_GB2312" w:hAnsi="楷体_GB2312" w:eastAsia="楷体_GB2312" w:cs="楷体_GB2312"/>
          <w:color w:val="000000" w:themeColor="text1"/>
          <w:sz w:val="32"/>
          <w:szCs w:val="32"/>
          <w14:textFill>
            <w14:solidFill>
              <w14:schemeClr w14:val="tx1"/>
            </w14:solidFill>
          </w14:textFill>
        </w:rPr>
        <w:t>持续推进京津冀民政事业协同发展</w:t>
      </w:r>
    </w:p>
    <w:p w14:paraId="01B1B418">
      <w:pPr>
        <w:spacing w:line="560" w:lineRule="exact"/>
        <w:jc w:val="center"/>
        <w:rPr>
          <w:rFonts w:ascii="黑体" w:hAnsi="黑体" w:eastAsia="黑体" w:cs="黑体"/>
          <w:sz w:val="36"/>
          <w:szCs w:val="36"/>
        </w:rPr>
      </w:pPr>
    </w:p>
    <w:p w14:paraId="4305C51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立足首都城市战略功能定位，充分发挥门头沟区在京津冀协同发展战略中的区位优势和生态涵养功能，聚焦养老服务、社会救助、社会事务、社会治理等民政重点领域，强化统筹协调与机制创新，积极打造京西民政协同发展示范区。以政策协同、项目联动、标准互通、资源共享为抓手，不断提升跨区域公共服务共建共享水平，使协同发展成果更多惠及民生福祉。</w:t>
      </w:r>
    </w:p>
    <w:p w14:paraId="646C2745">
      <w:pPr>
        <w:spacing w:line="560" w:lineRule="exact"/>
        <w:ind w:firstLine="640" w:firstLineChars="200"/>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eastAsia="zh-CN"/>
          <w14:textFill>
            <w14:solidFill>
              <w14:schemeClr w14:val="tx1"/>
            </w14:solidFill>
          </w14:textFill>
        </w:rPr>
        <w:t>（八）</w:t>
      </w:r>
      <w:r>
        <w:rPr>
          <w:rFonts w:hint="eastAsia" w:ascii="楷体_GB2312" w:hAnsi="楷体_GB2312" w:eastAsia="楷体_GB2312" w:cs="楷体_GB2312"/>
          <w:color w:val="000000" w:themeColor="text1"/>
          <w:sz w:val="32"/>
          <w:szCs w:val="32"/>
          <w14:textFill>
            <w14:solidFill>
              <w14:schemeClr w14:val="tx1"/>
            </w14:solidFill>
          </w14:textFill>
        </w:rPr>
        <w:t>保障措施</w:t>
      </w:r>
    </w:p>
    <w:p w14:paraId="222EBEF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为确保“十五五”时期门头沟区民政事业高质量发展各项目标任务落地见效，必须坚持党建</w:t>
      </w:r>
      <w:r>
        <w:rPr>
          <w:rFonts w:hint="eastAsia" w:ascii="仿宋_GB2312" w:hAnsi="仿宋_GB2312" w:eastAsia="仿宋_GB2312" w:cs="仿宋_GB2312"/>
          <w:sz w:val="32"/>
          <w:szCs w:val="32"/>
          <w:lang w:eastAsia="zh-CN"/>
        </w:rPr>
        <w:t>引</w:t>
      </w:r>
      <w:r>
        <w:rPr>
          <w:rFonts w:hint="eastAsia" w:ascii="仿宋_GB2312" w:hAnsi="仿宋_GB2312" w:eastAsia="仿宋_GB2312" w:cs="仿宋_GB2312"/>
          <w:sz w:val="32"/>
          <w:szCs w:val="32"/>
        </w:rPr>
        <w:t>领、依法行政、科技赋能、人才支撑、资金保障、安全底线“七位一体”的综合保障体系，强化统筹协调和系统推进，构建高效运行、风险可控、保障有力的现代化民政支撑体系。</w:t>
      </w:r>
    </w:p>
    <w:p w14:paraId="235B9216">
      <w:pPr>
        <w:spacing w:line="560" w:lineRule="exact"/>
        <w:rPr>
          <w:rFonts w:ascii="仿宋_GB2312" w:hAnsi="仿宋_GB2312" w:eastAsia="仿宋_GB2312" w:cs="仿宋_GB2312"/>
          <w:sz w:val="32"/>
          <w:szCs w:val="32"/>
        </w:rPr>
      </w:pPr>
    </w:p>
    <w:p w14:paraId="696AAC41">
      <w:pPr>
        <w:spacing w:line="560" w:lineRule="exact"/>
        <w:rPr>
          <w:rFonts w:ascii="仿宋_GB2312" w:hAnsi="仿宋_GB2312" w:eastAsia="仿宋_GB2312" w:cs="仿宋_GB2312"/>
          <w:sz w:val="32"/>
          <w:szCs w:val="32"/>
        </w:rPr>
      </w:pPr>
    </w:p>
    <w:p w14:paraId="604DD626">
      <w:pPr>
        <w:spacing w:line="560" w:lineRule="exact"/>
        <w:rPr>
          <w:rFonts w:ascii="仿宋_GB2312" w:hAnsi="仿宋_GB2312" w:eastAsia="仿宋_GB2312" w:cs="仿宋_GB2312"/>
          <w:sz w:val="32"/>
          <w:szCs w:val="32"/>
        </w:rPr>
      </w:pPr>
    </w:p>
    <w:p w14:paraId="44C92BE4">
      <w:pPr>
        <w:spacing w:line="560" w:lineRule="exact"/>
        <w:rPr>
          <w:rFonts w:ascii="仿宋_GB2312" w:hAnsi="仿宋_GB2312" w:eastAsia="仿宋_GB2312" w:cs="仿宋_GB2312"/>
          <w:sz w:val="32"/>
          <w:szCs w:val="32"/>
        </w:rPr>
      </w:pPr>
    </w:p>
    <w:p w14:paraId="53C1A144">
      <w:pPr>
        <w:spacing w:line="560" w:lineRule="exact"/>
        <w:rPr>
          <w:rFonts w:ascii="仿宋_GB2312" w:hAnsi="仿宋_GB2312" w:eastAsia="仿宋_GB2312" w:cs="仿宋_GB2312"/>
          <w:sz w:val="32"/>
          <w:szCs w:val="32"/>
        </w:rPr>
      </w:pPr>
    </w:p>
    <w:p w14:paraId="6E7640D2">
      <w:pPr>
        <w:spacing w:line="560" w:lineRule="exact"/>
        <w:rPr>
          <w:rFonts w:ascii="仿宋_GB2312" w:hAnsi="仿宋_GB2312" w:eastAsia="仿宋_GB2312" w:cs="仿宋_GB2312"/>
          <w:sz w:val="32"/>
          <w:szCs w:val="32"/>
        </w:rPr>
      </w:pPr>
    </w:p>
    <w:p w14:paraId="0D567BBD">
      <w:pPr>
        <w:spacing w:line="560" w:lineRule="exact"/>
        <w:rPr>
          <w:rFonts w:ascii="仿宋_GB2312" w:hAnsi="仿宋_GB2312" w:eastAsia="仿宋_GB2312" w:cs="仿宋_GB2312"/>
          <w:sz w:val="32"/>
          <w:szCs w:val="32"/>
        </w:rPr>
      </w:pPr>
    </w:p>
    <w:p w14:paraId="57E093E2">
      <w:pPr>
        <w:spacing w:line="560" w:lineRule="exact"/>
        <w:rPr>
          <w:rFonts w:ascii="黑体" w:hAnsi="黑体" w:eastAsia="黑体" w:cs="黑体"/>
          <w:color w:val="000000" w:themeColor="text1"/>
          <w:sz w:val="32"/>
          <w:szCs w:val="32"/>
        </w:rPr>
      </w:pPr>
    </w:p>
    <w:sectPr>
      <w:headerReference r:id="rId3" w:type="default"/>
      <w:footerReference r:id="rId4" w:type="default"/>
      <w:pgSz w:w="11900" w:h="16840"/>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微软雅黑"/>
    <w:panose1 w:val="00000000000000000000"/>
    <w:charset w:val="00"/>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Arial Unicode MS">
    <w:altName w:val="宋体"/>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V.帀И..">
    <w:altName w:val="仿宋"/>
    <w:panose1 w:val="00000000000000000000"/>
    <w:charset w:val="86"/>
    <w:family w:val="roman"/>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8C706">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9A8EBFD">
                          <w:pPr>
                            <w:pStyle w:val="11"/>
                            <w:rPr>
                              <w:rFonts w:ascii="仿宋_GB2312" w:hAnsi="仿宋_GB2312" w:eastAsia="仿宋_GB2312" w:cs="仿宋_GB2312"/>
                              <w:sz w:val="21"/>
                              <w:szCs w:val="32"/>
                            </w:rPr>
                          </w:pPr>
                          <w:r>
                            <w:rPr>
                              <w:rFonts w:hint="eastAsia" w:ascii="仿宋_GB2312" w:hAnsi="仿宋_GB2312" w:eastAsia="仿宋_GB2312" w:cs="仿宋_GB2312"/>
                              <w:sz w:val="21"/>
                              <w:szCs w:val="32"/>
                            </w:rPr>
                            <w:fldChar w:fldCharType="begin"/>
                          </w:r>
                          <w:r>
                            <w:rPr>
                              <w:rFonts w:hint="eastAsia" w:ascii="仿宋_GB2312" w:hAnsi="仿宋_GB2312" w:eastAsia="仿宋_GB2312" w:cs="仿宋_GB2312"/>
                              <w:sz w:val="21"/>
                              <w:szCs w:val="32"/>
                            </w:rPr>
                            <w:instrText xml:space="preserve"> PAGE  \* MERGEFORMAT </w:instrText>
                          </w:r>
                          <w:r>
                            <w:rPr>
                              <w:rFonts w:hint="eastAsia" w:ascii="仿宋_GB2312" w:hAnsi="仿宋_GB2312" w:eastAsia="仿宋_GB2312" w:cs="仿宋_GB2312"/>
                              <w:sz w:val="21"/>
                              <w:szCs w:val="32"/>
                            </w:rPr>
                            <w:fldChar w:fldCharType="separate"/>
                          </w:r>
                          <w:r>
                            <w:rPr>
                              <w:rFonts w:ascii="仿宋_GB2312" w:hAnsi="仿宋_GB2312" w:eastAsia="仿宋_GB2312" w:cs="仿宋_GB2312"/>
                              <w:sz w:val="21"/>
                              <w:szCs w:val="32"/>
                            </w:rPr>
                            <w:t>1</w:t>
                          </w:r>
                          <w:r>
                            <w:rPr>
                              <w:rFonts w:hint="eastAsia" w:ascii="仿宋_GB2312" w:hAnsi="仿宋_GB2312" w:eastAsia="仿宋_GB2312" w:cs="仿宋_GB2312"/>
                              <w:sz w:val="21"/>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19A8EBFD">
                    <w:pPr>
                      <w:pStyle w:val="11"/>
                      <w:rPr>
                        <w:rFonts w:ascii="仿宋_GB2312" w:hAnsi="仿宋_GB2312" w:eastAsia="仿宋_GB2312" w:cs="仿宋_GB2312"/>
                        <w:sz w:val="21"/>
                        <w:szCs w:val="32"/>
                      </w:rPr>
                    </w:pPr>
                    <w:r>
                      <w:rPr>
                        <w:rFonts w:hint="eastAsia" w:ascii="仿宋_GB2312" w:hAnsi="仿宋_GB2312" w:eastAsia="仿宋_GB2312" w:cs="仿宋_GB2312"/>
                        <w:sz w:val="21"/>
                        <w:szCs w:val="32"/>
                      </w:rPr>
                      <w:fldChar w:fldCharType="begin"/>
                    </w:r>
                    <w:r>
                      <w:rPr>
                        <w:rFonts w:hint="eastAsia" w:ascii="仿宋_GB2312" w:hAnsi="仿宋_GB2312" w:eastAsia="仿宋_GB2312" w:cs="仿宋_GB2312"/>
                        <w:sz w:val="21"/>
                        <w:szCs w:val="32"/>
                      </w:rPr>
                      <w:instrText xml:space="preserve"> PAGE  \* MERGEFORMAT </w:instrText>
                    </w:r>
                    <w:r>
                      <w:rPr>
                        <w:rFonts w:hint="eastAsia" w:ascii="仿宋_GB2312" w:hAnsi="仿宋_GB2312" w:eastAsia="仿宋_GB2312" w:cs="仿宋_GB2312"/>
                        <w:sz w:val="21"/>
                        <w:szCs w:val="32"/>
                      </w:rPr>
                      <w:fldChar w:fldCharType="separate"/>
                    </w:r>
                    <w:r>
                      <w:rPr>
                        <w:rFonts w:ascii="仿宋_GB2312" w:hAnsi="仿宋_GB2312" w:eastAsia="仿宋_GB2312" w:cs="仿宋_GB2312"/>
                        <w:sz w:val="21"/>
                        <w:szCs w:val="32"/>
                      </w:rPr>
                      <w:t>1</w:t>
                    </w:r>
                    <w:r>
                      <w:rPr>
                        <w:rFonts w:hint="eastAsia" w:ascii="仿宋_GB2312" w:hAnsi="仿宋_GB2312" w:eastAsia="仿宋_GB2312" w:cs="仿宋_GB2312"/>
                        <w:sz w:val="21"/>
                        <w:szCs w:val="32"/>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CD001">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762D"/>
    <w:rsid w:val="00050D48"/>
    <w:rsid w:val="001E3E4C"/>
    <w:rsid w:val="002414D4"/>
    <w:rsid w:val="0026762D"/>
    <w:rsid w:val="002A2CA8"/>
    <w:rsid w:val="002A3412"/>
    <w:rsid w:val="003423DC"/>
    <w:rsid w:val="00377E6F"/>
    <w:rsid w:val="00400A61"/>
    <w:rsid w:val="0052267D"/>
    <w:rsid w:val="00526C4D"/>
    <w:rsid w:val="0056547E"/>
    <w:rsid w:val="00565FA0"/>
    <w:rsid w:val="005849F7"/>
    <w:rsid w:val="005D254F"/>
    <w:rsid w:val="00646B5C"/>
    <w:rsid w:val="007308E2"/>
    <w:rsid w:val="00795579"/>
    <w:rsid w:val="007A793C"/>
    <w:rsid w:val="007D10B6"/>
    <w:rsid w:val="008A1DAF"/>
    <w:rsid w:val="008B35AC"/>
    <w:rsid w:val="00916CA3"/>
    <w:rsid w:val="00AA282C"/>
    <w:rsid w:val="00B51FBF"/>
    <w:rsid w:val="00D4071E"/>
    <w:rsid w:val="00EB0E5B"/>
    <w:rsid w:val="00EC15DD"/>
    <w:rsid w:val="00F60850"/>
    <w:rsid w:val="00F658CC"/>
    <w:rsid w:val="00FA61EB"/>
    <w:rsid w:val="00FA6228"/>
    <w:rsid w:val="01393085"/>
    <w:rsid w:val="020D27DE"/>
    <w:rsid w:val="02431864"/>
    <w:rsid w:val="02473724"/>
    <w:rsid w:val="026B46A5"/>
    <w:rsid w:val="028E76B6"/>
    <w:rsid w:val="02C22903"/>
    <w:rsid w:val="02E524E5"/>
    <w:rsid w:val="02F30C0A"/>
    <w:rsid w:val="0335711E"/>
    <w:rsid w:val="033C3367"/>
    <w:rsid w:val="03507C05"/>
    <w:rsid w:val="03CE68FA"/>
    <w:rsid w:val="042D3D18"/>
    <w:rsid w:val="04492FAE"/>
    <w:rsid w:val="048D5C16"/>
    <w:rsid w:val="0539545D"/>
    <w:rsid w:val="056F4FCB"/>
    <w:rsid w:val="062D7D70"/>
    <w:rsid w:val="06374D78"/>
    <w:rsid w:val="063A55EC"/>
    <w:rsid w:val="06BA2C8C"/>
    <w:rsid w:val="06CA0E6E"/>
    <w:rsid w:val="071464E3"/>
    <w:rsid w:val="07686F10"/>
    <w:rsid w:val="07CB6445"/>
    <w:rsid w:val="095A373B"/>
    <w:rsid w:val="099826A4"/>
    <w:rsid w:val="09B47EB2"/>
    <w:rsid w:val="09BE425B"/>
    <w:rsid w:val="09D02148"/>
    <w:rsid w:val="0A4E2392"/>
    <w:rsid w:val="0AAC1113"/>
    <w:rsid w:val="0AE22C92"/>
    <w:rsid w:val="0B494E7A"/>
    <w:rsid w:val="0B641A5B"/>
    <w:rsid w:val="0B9F294D"/>
    <w:rsid w:val="0BEB4D74"/>
    <w:rsid w:val="0C2204F3"/>
    <w:rsid w:val="0C4E4BCE"/>
    <w:rsid w:val="0C555481"/>
    <w:rsid w:val="0C58254A"/>
    <w:rsid w:val="0C5F0AB7"/>
    <w:rsid w:val="0C6C6455"/>
    <w:rsid w:val="0C8506CE"/>
    <w:rsid w:val="0D3700C3"/>
    <w:rsid w:val="0DA20C61"/>
    <w:rsid w:val="0DE04BD9"/>
    <w:rsid w:val="0E004203"/>
    <w:rsid w:val="0E323A19"/>
    <w:rsid w:val="0F0E542E"/>
    <w:rsid w:val="0F4E741B"/>
    <w:rsid w:val="0F586100"/>
    <w:rsid w:val="0F870361"/>
    <w:rsid w:val="0FF77CAC"/>
    <w:rsid w:val="0FF929E5"/>
    <w:rsid w:val="104C2430"/>
    <w:rsid w:val="107F6AC7"/>
    <w:rsid w:val="10A637CD"/>
    <w:rsid w:val="10BE0C2D"/>
    <w:rsid w:val="10E61113"/>
    <w:rsid w:val="11A860FC"/>
    <w:rsid w:val="11EC4897"/>
    <w:rsid w:val="11FB3BAE"/>
    <w:rsid w:val="123803DA"/>
    <w:rsid w:val="13901A4A"/>
    <w:rsid w:val="13D30E9E"/>
    <w:rsid w:val="13F704AD"/>
    <w:rsid w:val="1431104F"/>
    <w:rsid w:val="14B915C1"/>
    <w:rsid w:val="14EF351A"/>
    <w:rsid w:val="150875F1"/>
    <w:rsid w:val="15503D2D"/>
    <w:rsid w:val="15D47A50"/>
    <w:rsid w:val="15F22EBA"/>
    <w:rsid w:val="16206FC3"/>
    <w:rsid w:val="1644478F"/>
    <w:rsid w:val="16B43ACE"/>
    <w:rsid w:val="17B80317"/>
    <w:rsid w:val="17FD373D"/>
    <w:rsid w:val="184B20B1"/>
    <w:rsid w:val="18991FAE"/>
    <w:rsid w:val="18F12D3A"/>
    <w:rsid w:val="192B49A3"/>
    <w:rsid w:val="196A7460"/>
    <w:rsid w:val="198147FF"/>
    <w:rsid w:val="198E79BA"/>
    <w:rsid w:val="19A33612"/>
    <w:rsid w:val="19A40786"/>
    <w:rsid w:val="1A2C499D"/>
    <w:rsid w:val="1A6470F7"/>
    <w:rsid w:val="1A8A32DA"/>
    <w:rsid w:val="1AD95CCD"/>
    <w:rsid w:val="1AEC311A"/>
    <w:rsid w:val="1BBF6D32"/>
    <w:rsid w:val="1BD76FE0"/>
    <w:rsid w:val="1C4D409C"/>
    <w:rsid w:val="1C520E80"/>
    <w:rsid w:val="1CB11553"/>
    <w:rsid w:val="1D0C028C"/>
    <w:rsid w:val="1D8E40E7"/>
    <w:rsid w:val="1D9172C5"/>
    <w:rsid w:val="1DC00D58"/>
    <w:rsid w:val="1DEC5DF1"/>
    <w:rsid w:val="1DF0182A"/>
    <w:rsid w:val="1E404163"/>
    <w:rsid w:val="1E9F7A6C"/>
    <w:rsid w:val="1EE0418E"/>
    <w:rsid w:val="1EFA68B2"/>
    <w:rsid w:val="1EFE1036"/>
    <w:rsid w:val="1F0B3A21"/>
    <w:rsid w:val="1FA55669"/>
    <w:rsid w:val="1FF7610F"/>
    <w:rsid w:val="203E0B99"/>
    <w:rsid w:val="20617FFF"/>
    <w:rsid w:val="20A002CE"/>
    <w:rsid w:val="20B54E90"/>
    <w:rsid w:val="20D47169"/>
    <w:rsid w:val="20F20189"/>
    <w:rsid w:val="216E5FE8"/>
    <w:rsid w:val="227C6E4D"/>
    <w:rsid w:val="22EF667E"/>
    <w:rsid w:val="2333052C"/>
    <w:rsid w:val="23353F34"/>
    <w:rsid w:val="238F0F99"/>
    <w:rsid w:val="23AC231B"/>
    <w:rsid w:val="24322993"/>
    <w:rsid w:val="245673C2"/>
    <w:rsid w:val="249F06E1"/>
    <w:rsid w:val="24A73822"/>
    <w:rsid w:val="24C565A9"/>
    <w:rsid w:val="25396253"/>
    <w:rsid w:val="2554547A"/>
    <w:rsid w:val="25921824"/>
    <w:rsid w:val="26041258"/>
    <w:rsid w:val="26094650"/>
    <w:rsid w:val="262034B9"/>
    <w:rsid w:val="263A46E1"/>
    <w:rsid w:val="26501809"/>
    <w:rsid w:val="27750A86"/>
    <w:rsid w:val="27752414"/>
    <w:rsid w:val="2792235B"/>
    <w:rsid w:val="27B02D0E"/>
    <w:rsid w:val="27E27857"/>
    <w:rsid w:val="280C4ECD"/>
    <w:rsid w:val="284B718F"/>
    <w:rsid w:val="287B14AA"/>
    <w:rsid w:val="289A61A7"/>
    <w:rsid w:val="28BF481A"/>
    <w:rsid w:val="28E94228"/>
    <w:rsid w:val="2913514C"/>
    <w:rsid w:val="297D0571"/>
    <w:rsid w:val="29B54FEE"/>
    <w:rsid w:val="29C714A3"/>
    <w:rsid w:val="2A672B4F"/>
    <w:rsid w:val="2A76640F"/>
    <w:rsid w:val="2AB00407"/>
    <w:rsid w:val="2ACB0B6E"/>
    <w:rsid w:val="2B3435E4"/>
    <w:rsid w:val="2C4A65A9"/>
    <w:rsid w:val="2CCE0ED5"/>
    <w:rsid w:val="2E017DC1"/>
    <w:rsid w:val="2EFC2C0F"/>
    <w:rsid w:val="2F9E5FA3"/>
    <w:rsid w:val="2FB12EFF"/>
    <w:rsid w:val="2FBA6634"/>
    <w:rsid w:val="2FD73901"/>
    <w:rsid w:val="301A5025"/>
    <w:rsid w:val="302F1BC9"/>
    <w:rsid w:val="303E2B32"/>
    <w:rsid w:val="313A0226"/>
    <w:rsid w:val="315B4ED5"/>
    <w:rsid w:val="315C0068"/>
    <w:rsid w:val="31FA2148"/>
    <w:rsid w:val="32300855"/>
    <w:rsid w:val="32D33716"/>
    <w:rsid w:val="32DE6AEA"/>
    <w:rsid w:val="32DF3905"/>
    <w:rsid w:val="333A5091"/>
    <w:rsid w:val="34190362"/>
    <w:rsid w:val="35CB6614"/>
    <w:rsid w:val="360A0CC8"/>
    <w:rsid w:val="365560AB"/>
    <w:rsid w:val="365A00A4"/>
    <w:rsid w:val="36880468"/>
    <w:rsid w:val="368E119A"/>
    <w:rsid w:val="36A24493"/>
    <w:rsid w:val="37403BAD"/>
    <w:rsid w:val="37577CFA"/>
    <w:rsid w:val="37764E62"/>
    <w:rsid w:val="37E54A09"/>
    <w:rsid w:val="381C1733"/>
    <w:rsid w:val="38351FDB"/>
    <w:rsid w:val="38511082"/>
    <w:rsid w:val="388C0835"/>
    <w:rsid w:val="38941E44"/>
    <w:rsid w:val="389A072F"/>
    <w:rsid w:val="38D544D2"/>
    <w:rsid w:val="391169DB"/>
    <w:rsid w:val="391F48DE"/>
    <w:rsid w:val="39234A2C"/>
    <w:rsid w:val="39316948"/>
    <w:rsid w:val="394208B3"/>
    <w:rsid w:val="39A73120"/>
    <w:rsid w:val="39D6375E"/>
    <w:rsid w:val="39F21871"/>
    <w:rsid w:val="3A483833"/>
    <w:rsid w:val="3A8E7C12"/>
    <w:rsid w:val="3A92253B"/>
    <w:rsid w:val="3ACD464C"/>
    <w:rsid w:val="3AD770ED"/>
    <w:rsid w:val="3B0A23E1"/>
    <w:rsid w:val="3B0D4977"/>
    <w:rsid w:val="3B133346"/>
    <w:rsid w:val="3B365B15"/>
    <w:rsid w:val="3B594EB3"/>
    <w:rsid w:val="3B895C51"/>
    <w:rsid w:val="3BA94DDA"/>
    <w:rsid w:val="3C2F5A85"/>
    <w:rsid w:val="3C951A3E"/>
    <w:rsid w:val="3C9B6FE1"/>
    <w:rsid w:val="3CBC0E9A"/>
    <w:rsid w:val="3CD5500F"/>
    <w:rsid w:val="3CEC6921"/>
    <w:rsid w:val="3DA53113"/>
    <w:rsid w:val="3DC53420"/>
    <w:rsid w:val="3E9F6BB4"/>
    <w:rsid w:val="3F3F2CDA"/>
    <w:rsid w:val="3F620087"/>
    <w:rsid w:val="3FA5600E"/>
    <w:rsid w:val="406C60C2"/>
    <w:rsid w:val="408C482D"/>
    <w:rsid w:val="40957B6F"/>
    <w:rsid w:val="40C7690A"/>
    <w:rsid w:val="40E7504C"/>
    <w:rsid w:val="40F24180"/>
    <w:rsid w:val="411F61B5"/>
    <w:rsid w:val="412050D6"/>
    <w:rsid w:val="413C5906"/>
    <w:rsid w:val="415E3256"/>
    <w:rsid w:val="416543DF"/>
    <w:rsid w:val="41861E2A"/>
    <w:rsid w:val="42135A61"/>
    <w:rsid w:val="428529D7"/>
    <w:rsid w:val="43150DA9"/>
    <w:rsid w:val="432B4CDB"/>
    <w:rsid w:val="43384B5D"/>
    <w:rsid w:val="43AC78EF"/>
    <w:rsid w:val="43CB29B9"/>
    <w:rsid w:val="43CC3B67"/>
    <w:rsid w:val="442F4929"/>
    <w:rsid w:val="4475252B"/>
    <w:rsid w:val="44D7473B"/>
    <w:rsid w:val="45946E0B"/>
    <w:rsid w:val="46176160"/>
    <w:rsid w:val="46355BE0"/>
    <w:rsid w:val="46550B20"/>
    <w:rsid w:val="46875BAA"/>
    <w:rsid w:val="46DC3789"/>
    <w:rsid w:val="47287E78"/>
    <w:rsid w:val="473C6073"/>
    <w:rsid w:val="476836D5"/>
    <w:rsid w:val="47717D7E"/>
    <w:rsid w:val="47753D3C"/>
    <w:rsid w:val="47F05BB0"/>
    <w:rsid w:val="48017E6F"/>
    <w:rsid w:val="48AC04A0"/>
    <w:rsid w:val="490C6FB5"/>
    <w:rsid w:val="496B2776"/>
    <w:rsid w:val="49A01757"/>
    <w:rsid w:val="49A56621"/>
    <w:rsid w:val="49AE25D7"/>
    <w:rsid w:val="4A095239"/>
    <w:rsid w:val="4A53000B"/>
    <w:rsid w:val="4A534AC0"/>
    <w:rsid w:val="4AC63936"/>
    <w:rsid w:val="4AD672FD"/>
    <w:rsid w:val="4AF26418"/>
    <w:rsid w:val="4B7F5E95"/>
    <w:rsid w:val="4B9451F7"/>
    <w:rsid w:val="4BAD143A"/>
    <w:rsid w:val="4BF73B96"/>
    <w:rsid w:val="4BFC3283"/>
    <w:rsid w:val="4C1D4C33"/>
    <w:rsid w:val="4C405947"/>
    <w:rsid w:val="4CE11BCD"/>
    <w:rsid w:val="4CE66724"/>
    <w:rsid w:val="4D5F58DD"/>
    <w:rsid w:val="4D8307AC"/>
    <w:rsid w:val="4DE907FF"/>
    <w:rsid w:val="4EFD61AB"/>
    <w:rsid w:val="4F8079C3"/>
    <w:rsid w:val="4F8857DC"/>
    <w:rsid w:val="4F972400"/>
    <w:rsid w:val="4FA10D07"/>
    <w:rsid w:val="4FCC0047"/>
    <w:rsid w:val="50505353"/>
    <w:rsid w:val="50A20F11"/>
    <w:rsid w:val="50EF0D23"/>
    <w:rsid w:val="50F427ED"/>
    <w:rsid w:val="5108357F"/>
    <w:rsid w:val="513A2175"/>
    <w:rsid w:val="517B0DFA"/>
    <w:rsid w:val="518B1AF1"/>
    <w:rsid w:val="519E6AE1"/>
    <w:rsid w:val="51EF297C"/>
    <w:rsid w:val="521F72B1"/>
    <w:rsid w:val="526D11CE"/>
    <w:rsid w:val="52BF4724"/>
    <w:rsid w:val="52E34F26"/>
    <w:rsid w:val="52EA1613"/>
    <w:rsid w:val="53023B19"/>
    <w:rsid w:val="530315CC"/>
    <w:rsid w:val="532027A1"/>
    <w:rsid w:val="53665CFD"/>
    <w:rsid w:val="53730188"/>
    <w:rsid w:val="53E848B5"/>
    <w:rsid w:val="549C214D"/>
    <w:rsid w:val="54A2700C"/>
    <w:rsid w:val="55BB25D7"/>
    <w:rsid w:val="5636741B"/>
    <w:rsid w:val="56863987"/>
    <w:rsid w:val="57116216"/>
    <w:rsid w:val="57253EBB"/>
    <w:rsid w:val="57480C8C"/>
    <w:rsid w:val="57783338"/>
    <w:rsid w:val="579E01E8"/>
    <w:rsid w:val="57A879E1"/>
    <w:rsid w:val="580C511C"/>
    <w:rsid w:val="58364C0A"/>
    <w:rsid w:val="58BB24BA"/>
    <w:rsid w:val="58F9336B"/>
    <w:rsid w:val="5923338D"/>
    <w:rsid w:val="594103FE"/>
    <w:rsid w:val="59BE5826"/>
    <w:rsid w:val="59C903AC"/>
    <w:rsid w:val="5A0B1AFB"/>
    <w:rsid w:val="5A555F79"/>
    <w:rsid w:val="5AC5316E"/>
    <w:rsid w:val="5B5E4C66"/>
    <w:rsid w:val="5B835C9F"/>
    <w:rsid w:val="5BAD67C2"/>
    <w:rsid w:val="5BB216A4"/>
    <w:rsid w:val="5BE958E8"/>
    <w:rsid w:val="5C230071"/>
    <w:rsid w:val="5C2F1851"/>
    <w:rsid w:val="5D1132AE"/>
    <w:rsid w:val="5DE12522"/>
    <w:rsid w:val="5DE729FB"/>
    <w:rsid w:val="5E15102C"/>
    <w:rsid w:val="5E8821EA"/>
    <w:rsid w:val="5E9B5211"/>
    <w:rsid w:val="5E9B6F17"/>
    <w:rsid w:val="5EB85711"/>
    <w:rsid w:val="5EE368CD"/>
    <w:rsid w:val="5EEC7732"/>
    <w:rsid w:val="5F984A68"/>
    <w:rsid w:val="5FBF39A1"/>
    <w:rsid w:val="60052AB2"/>
    <w:rsid w:val="615A3FBB"/>
    <w:rsid w:val="61810A9B"/>
    <w:rsid w:val="624D069B"/>
    <w:rsid w:val="624F1CFB"/>
    <w:rsid w:val="629F3813"/>
    <w:rsid w:val="62CB686D"/>
    <w:rsid w:val="62FD536F"/>
    <w:rsid w:val="63420DA8"/>
    <w:rsid w:val="641E6823"/>
    <w:rsid w:val="648F60EA"/>
    <w:rsid w:val="64A47E50"/>
    <w:rsid w:val="64E30B54"/>
    <w:rsid w:val="6535041B"/>
    <w:rsid w:val="65B7141E"/>
    <w:rsid w:val="66080B7F"/>
    <w:rsid w:val="66236572"/>
    <w:rsid w:val="66287AC2"/>
    <w:rsid w:val="667D4FE3"/>
    <w:rsid w:val="66A274E3"/>
    <w:rsid w:val="66AF4D77"/>
    <w:rsid w:val="66B66C23"/>
    <w:rsid w:val="66DC2D29"/>
    <w:rsid w:val="66F27E4E"/>
    <w:rsid w:val="67692374"/>
    <w:rsid w:val="677069A6"/>
    <w:rsid w:val="6788747A"/>
    <w:rsid w:val="67BC3AEE"/>
    <w:rsid w:val="67D2390A"/>
    <w:rsid w:val="680167F2"/>
    <w:rsid w:val="68753D8F"/>
    <w:rsid w:val="688A7381"/>
    <w:rsid w:val="68BD681D"/>
    <w:rsid w:val="68CE6E31"/>
    <w:rsid w:val="69402E08"/>
    <w:rsid w:val="696222B3"/>
    <w:rsid w:val="69754F0F"/>
    <w:rsid w:val="69771AD9"/>
    <w:rsid w:val="69A63738"/>
    <w:rsid w:val="69D2071A"/>
    <w:rsid w:val="69ED301C"/>
    <w:rsid w:val="69F2768F"/>
    <w:rsid w:val="6AF61E8E"/>
    <w:rsid w:val="6CEA1ED1"/>
    <w:rsid w:val="6CF75D69"/>
    <w:rsid w:val="6CFE27F4"/>
    <w:rsid w:val="6DBF4E0E"/>
    <w:rsid w:val="6DF26B96"/>
    <w:rsid w:val="6DFB41DF"/>
    <w:rsid w:val="6E0D7BAB"/>
    <w:rsid w:val="6E5215D1"/>
    <w:rsid w:val="6E73709E"/>
    <w:rsid w:val="6E9433EA"/>
    <w:rsid w:val="6FFD00EB"/>
    <w:rsid w:val="70527A07"/>
    <w:rsid w:val="70577B9D"/>
    <w:rsid w:val="70791058"/>
    <w:rsid w:val="7079145C"/>
    <w:rsid w:val="70E913C7"/>
    <w:rsid w:val="713025AB"/>
    <w:rsid w:val="71305692"/>
    <w:rsid w:val="71BE6F65"/>
    <w:rsid w:val="71EF2480"/>
    <w:rsid w:val="7272477A"/>
    <w:rsid w:val="728A3483"/>
    <w:rsid w:val="73024D3F"/>
    <w:rsid w:val="732C403A"/>
    <w:rsid w:val="735B3D8A"/>
    <w:rsid w:val="735F276C"/>
    <w:rsid w:val="738B5FC8"/>
    <w:rsid w:val="738E38AB"/>
    <w:rsid w:val="73A73A62"/>
    <w:rsid w:val="741330DB"/>
    <w:rsid w:val="74776515"/>
    <w:rsid w:val="74BC421F"/>
    <w:rsid w:val="74C86747"/>
    <w:rsid w:val="74F059B2"/>
    <w:rsid w:val="756F0FE8"/>
    <w:rsid w:val="75714711"/>
    <w:rsid w:val="75893BE2"/>
    <w:rsid w:val="75BF526C"/>
    <w:rsid w:val="75D074D4"/>
    <w:rsid w:val="7625788A"/>
    <w:rsid w:val="7667108E"/>
    <w:rsid w:val="76CD01E7"/>
    <w:rsid w:val="76FF2570"/>
    <w:rsid w:val="77171A0D"/>
    <w:rsid w:val="77306BA0"/>
    <w:rsid w:val="783C1582"/>
    <w:rsid w:val="785E7DE6"/>
    <w:rsid w:val="787200F7"/>
    <w:rsid w:val="78C748F1"/>
    <w:rsid w:val="78D26A31"/>
    <w:rsid w:val="78DB6681"/>
    <w:rsid w:val="79B6367C"/>
    <w:rsid w:val="79E36D48"/>
    <w:rsid w:val="79EF350E"/>
    <w:rsid w:val="79F2263F"/>
    <w:rsid w:val="79F55F74"/>
    <w:rsid w:val="7A0E1383"/>
    <w:rsid w:val="7A3C6215"/>
    <w:rsid w:val="7A740CA9"/>
    <w:rsid w:val="7B6B3165"/>
    <w:rsid w:val="7B7B2532"/>
    <w:rsid w:val="7BA64ECC"/>
    <w:rsid w:val="7BB756E4"/>
    <w:rsid w:val="7BDE06D2"/>
    <w:rsid w:val="7C550463"/>
    <w:rsid w:val="7CFF249A"/>
    <w:rsid w:val="7D167BB0"/>
    <w:rsid w:val="7D2111DF"/>
    <w:rsid w:val="7D6C69E5"/>
    <w:rsid w:val="7D7631CF"/>
    <w:rsid w:val="7E0F7ECD"/>
    <w:rsid w:val="7E1E4FAA"/>
    <w:rsid w:val="7E39619D"/>
    <w:rsid w:val="7E555641"/>
    <w:rsid w:val="7EC545BF"/>
    <w:rsid w:val="7EE724D5"/>
    <w:rsid w:val="7F1A5FD0"/>
    <w:rsid w:val="7FDA25B8"/>
    <w:rsid w:val="EDEFC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keepNext/>
      <w:keepLines/>
      <w:spacing w:line="560" w:lineRule="exact"/>
      <w:ind w:firstLine="200" w:firstLineChars="200"/>
      <w:outlineLvl w:val="1"/>
    </w:pPr>
    <w:rPr>
      <w:rFonts w:ascii="等线 Light" w:hAnsi="等线 Light" w:eastAsia="楷体_GB2312"/>
      <w:bCs/>
      <w:kern w:val="0"/>
      <w:sz w:val="32"/>
      <w:szCs w:val="32"/>
    </w:rPr>
  </w:style>
  <w:style w:type="paragraph" w:styleId="5">
    <w:name w:val="heading 3"/>
    <w:basedOn w:val="1"/>
    <w:next w:val="1"/>
    <w:qFormat/>
    <w:uiPriority w:val="9"/>
    <w:pPr>
      <w:keepNext/>
      <w:keepLines/>
      <w:spacing w:before="260" w:after="260" w:line="413" w:lineRule="auto"/>
      <w:outlineLvl w:val="2"/>
    </w:pPr>
    <w:rPr>
      <w:b/>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仿宋V.帀И.." w:hAnsi="Times New Roman" w:eastAsia="仿宋V.帀И.." w:cs="仿宋V.帀И.."/>
      <w:color w:val="000000"/>
      <w:sz w:val="24"/>
      <w:szCs w:val="24"/>
      <w:lang w:val="en-US" w:eastAsia="zh-CN" w:bidi="ar-SA"/>
    </w:rPr>
  </w:style>
  <w:style w:type="paragraph" w:customStyle="1" w:styleId="3">
    <w:name w:val="正文1"/>
    <w:qFormat/>
    <w:uiPriority w:val="0"/>
    <w:pPr>
      <w:jc w:val="both"/>
    </w:pPr>
    <w:rPr>
      <w:rFonts w:ascii="Times New Roman" w:hAnsi="Times New Roman" w:eastAsia="宋体" w:cs="Times New Roman"/>
      <w:sz w:val="32"/>
      <w:szCs w:val="32"/>
      <w:lang w:val="en-US" w:eastAsia="zh-CN" w:bidi="ar-SA"/>
    </w:rPr>
  </w:style>
  <w:style w:type="paragraph" w:styleId="6">
    <w:name w:val="Normal Indent"/>
    <w:basedOn w:val="1"/>
    <w:unhideWhenUsed/>
    <w:qFormat/>
    <w:uiPriority w:val="99"/>
    <w:pPr>
      <w:ind w:firstLine="420"/>
    </w:pPr>
    <w:rPr>
      <w:szCs w:val="20"/>
    </w:rPr>
  </w:style>
  <w:style w:type="paragraph" w:styleId="7">
    <w:name w:val="Body Text"/>
    <w:basedOn w:val="1"/>
    <w:next w:val="8"/>
    <w:unhideWhenUsed/>
    <w:qFormat/>
    <w:uiPriority w:val="99"/>
    <w:pPr>
      <w:spacing w:line="300" w:lineRule="atLeast"/>
      <w:jc w:val="center"/>
    </w:pPr>
    <w:rPr>
      <w:rFonts w:ascii="Times New Roman" w:hAnsi="Times New Roman" w:eastAsia="Times New Roman" w:cs="Times New Roman"/>
      <w:color w:val="000000"/>
      <w:sz w:val="44"/>
      <w:szCs w:val="20"/>
    </w:rPr>
  </w:style>
  <w:style w:type="paragraph" w:customStyle="1" w:styleId="8">
    <w:name w:val="目录 11"/>
    <w:next w:val="1"/>
    <w:qFormat/>
    <w:uiPriority w:val="0"/>
    <w:pPr>
      <w:wordWrap w:val="0"/>
      <w:jc w:val="both"/>
    </w:pPr>
    <w:rPr>
      <w:rFonts w:ascii="Calibri" w:hAnsi="Calibri" w:eastAsia="宋体" w:cs="Times New Roman"/>
      <w:sz w:val="21"/>
      <w:szCs w:val="22"/>
      <w:lang w:val="en-US" w:eastAsia="zh-CN" w:bidi="ar-SA"/>
    </w:rPr>
  </w:style>
  <w:style w:type="paragraph" w:styleId="9">
    <w:name w:val="Plain Text"/>
    <w:next w:val="10"/>
    <w:qFormat/>
    <w:uiPriority w:val="0"/>
    <w:pPr>
      <w:widowControl w:val="0"/>
      <w:suppressAutoHyphens/>
      <w:jc w:val="both"/>
    </w:pPr>
    <w:rPr>
      <w:rFonts w:ascii="宋体" w:hAnsi="Courier New" w:eastAsia="宋体" w:cs="Times New Roman"/>
      <w:kern w:val="2"/>
      <w:sz w:val="21"/>
      <w:szCs w:val="24"/>
      <w:lang w:val="en-US" w:eastAsia="zh-CN" w:bidi="ar-SA"/>
    </w:rPr>
  </w:style>
  <w:style w:type="paragraph" w:styleId="10">
    <w:name w:val="index 9"/>
    <w:next w:val="1"/>
    <w:qFormat/>
    <w:uiPriority w:val="99"/>
    <w:pPr>
      <w:widowControl w:val="0"/>
      <w:suppressAutoHyphens/>
      <w:ind w:left="3360"/>
      <w:jc w:val="both"/>
    </w:pPr>
    <w:rPr>
      <w:rFonts w:ascii="Calibri" w:hAnsi="Calibri" w:eastAsia="宋体" w:cs="Calibri"/>
      <w:kern w:val="2"/>
      <w:sz w:val="21"/>
      <w:szCs w:val="24"/>
      <w:lang w:val="en-US" w:eastAsia="zh-CN" w:bidi="ar-SA"/>
    </w:rPr>
  </w:style>
  <w:style w:type="paragraph" w:styleId="11">
    <w:name w:val="footer"/>
    <w:basedOn w:val="1"/>
    <w:unhideWhenUsed/>
    <w:qFormat/>
    <w:uiPriority w:val="99"/>
    <w:pPr>
      <w:tabs>
        <w:tab w:val="center" w:pos="4153"/>
        <w:tab w:val="right" w:pos="8306"/>
      </w:tabs>
      <w:snapToGrid w:val="0"/>
      <w:jc w:val="left"/>
    </w:pPr>
    <w:rPr>
      <w:sz w:val="18"/>
    </w:rPr>
  </w:style>
  <w:style w:type="paragraph" w:styleId="12">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10"/>
    <w:pPr>
      <w:spacing w:before="240" w:after="60"/>
      <w:jc w:val="center"/>
      <w:outlineLvl w:val="0"/>
    </w:pPr>
    <w:rPr>
      <w:rFonts w:ascii="Cambria" w:hAnsi="Cambria"/>
      <w:b/>
      <w:bCs/>
      <w:sz w:val="32"/>
      <w:szCs w:val="32"/>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9">
    <w:name w:val="font21"/>
    <w:qFormat/>
    <w:uiPriority w:val="0"/>
    <w:rPr>
      <w:rFonts w:hint="default" w:ascii="仿宋" w:hAnsi="仿宋" w:eastAsia="仿宋" w:cs="仿宋"/>
      <w:color w:val="000000"/>
      <w:sz w:val="28"/>
      <w:szCs w:val="28"/>
      <w:u w:val="none"/>
    </w:rPr>
  </w:style>
  <w:style w:type="paragraph" w:customStyle="1" w:styleId="20">
    <w:name w:val="默认"/>
    <w:qFormat/>
    <w:uiPriority w:val="0"/>
    <w:rPr>
      <w:rFonts w:ascii="Helvetica" w:hAnsi="Helvetica" w:eastAsia="Arial Unicode MS" w:cs="Arial Unicode MS"/>
      <w:color w:val="000000"/>
      <w:sz w:val="22"/>
      <w:szCs w:val="22"/>
      <w:lang w:val="zh-CN" w:eastAsia="zh-CN" w:bidi="ar-SA"/>
    </w:rPr>
  </w:style>
  <w:style w:type="paragraph" w:customStyle="1" w:styleId="21">
    <w:name w:val="p0"/>
    <w:basedOn w:val="1"/>
    <w:uiPriority w:val="99"/>
    <w:pPr>
      <w:widowControl/>
    </w:pPr>
    <w:rPr>
      <w:rFonts w:cs="Times New Roman"/>
      <w:kern w:val="0"/>
      <w:szCs w:val="21"/>
    </w:rPr>
  </w:style>
  <w:style w:type="paragraph" w:customStyle="1" w:styleId="22">
    <w:name w:val="样式一"/>
    <w:basedOn w:val="1"/>
    <w:uiPriority w:val="0"/>
    <w:pPr>
      <w:spacing w:before="435" w:after="217" w:line="600" w:lineRule="exact"/>
      <w:jc w:val="center"/>
    </w:pPr>
    <w:rPr>
      <w:rFonts w:ascii="黑体" w:hAnsi="黑体" w:eastAsia="黑体" w:cs="宋体"/>
      <w:szCs w:val="20"/>
    </w:rPr>
  </w:style>
  <w:style w:type="character" w:customStyle="1" w:styleId="23">
    <w:name w:val="样式三 字符"/>
    <w:link w:val="24"/>
    <w:qFormat/>
    <w:uiPriority w:val="0"/>
    <w:rPr>
      <w:rFonts w:ascii="楷体_GB2312" w:hAnsi="仿宋_GB2312" w:eastAsia="楷体_GB2312" w:cs="Times New Roman"/>
      <w:bCs/>
    </w:rPr>
  </w:style>
  <w:style w:type="paragraph" w:customStyle="1" w:styleId="24">
    <w:name w:val="样式三"/>
    <w:basedOn w:val="1"/>
    <w:next w:val="1"/>
    <w:link w:val="23"/>
    <w:qFormat/>
    <w:uiPriority w:val="0"/>
    <w:pPr>
      <w:overflowPunct w:val="0"/>
      <w:adjustRightInd w:val="0"/>
      <w:snapToGrid w:val="0"/>
      <w:spacing w:line="600" w:lineRule="exact"/>
      <w:ind w:firstLine="640" w:firstLineChars="200"/>
    </w:pPr>
    <w:rPr>
      <w:rFonts w:ascii="楷体_GB2312" w:hAnsi="仿宋_GB2312" w:eastAsia="楷体_GB2312" w:cs="Times New Roman"/>
      <w:bCs/>
    </w:rPr>
  </w:style>
  <w:style w:type="paragraph" w:customStyle="1" w:styleId="25">
    <w:name w:val="A-正文"/>
    <w:basedOn w:val="1"/>
    <w:qFormat/>
    <w:uiPriority w:val="0"/>
    <w:pPr>
      <w:spacing w:line="580" w:lineRule="exact"/>
      <w:ind w:firstLine="600" w:firstLineChars="200"/>
    </w:pPr>
    <w:rPr>
      <w:rFonts w:ascii="仿宋_GB2312" w:eastAsia="仿宋_GB2312"/>
      <w:sz w:val="30"/>
      <w:szCs w:val="30"/>
    </w:rPr>
  </w:style>
  <w:style w:type="paragraph" w:customStyle="1" w:styleId="26">
    <w:name w:val="样式二 大"/>
    <w:basedOn w:val="1"/>
    <w:qFormat/>
    <w:uiPriority w:val="0"/>
    <w:pPr>
      <w:spacing w:line="600" w:lineRule="exact"/>
      <w:ind w:firstLine="640" w:firstLineChars="200"/>
    </w:pPr>
    <w:rPr>
      <w:rFonts w:ascii="黑体" w:hAnsi="黑体" w:eastAsia="黑体" w:cs="宋体"/>
      <w:sz w:val="32"/>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2989</Words>
  <Characters>3026</Characters>
  <Lines>33</Lines>
  <Paragraphs>9</Paragraphs>
  <TotalTime>3</TotalTime>
  <ScaleCrop>false</ScaleCrop>
  <LinksUpToDate>false</LinksUpToDate>
  <CharactersWithSpaces>3028</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2023-02-01T01:30:00Z</dcterms:created>
  <dc:creator>Microsoft Office User</dc:creator>
  <cp:lastModifiedBy>S</cp:lastModifiedBy>
  <cp:lastPrinted>2022-03-16T07:13:00Z</cp:lastPrinted>
  <dcterms:modified xsi:type="dcterms:W3CDTF">2026-05-18T09:15:23Z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1F2ED5B126B248C8B6F7CA14328C2088_13</vt:lpwstr>
  </property>
  <property fmtid="{D5CDD505-2E9C-101B-9397-08002B2CF9AE}" pid="4" name="KSOTemplateDocerSaveRecord">
    <vt:lpwstr>eyJoZGlkIjoiZTJhNmExMDZhNWZkNTYxNjMzOGVkMDg4MWM2MWEyNDYiLCJ1c2VySWQiOiI2MzY2NDQwNjgifQ==</vt:lpwstr>
  </property>
</Properties>
</file>