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03C03">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方正仿宋_GBK" w:hAnsi="方正仿宋_GBK" w:eastAsia="楷体_GB2312" w:cs="方正仿宋_GBK"/>
          <w:color w:val="auto"/>
          <w:sz w:val="28"/>
          <w:szCs w:val="28"/>
          <w:highlight w:val="none"/>
          <w:u w:val="none"/>
        </w:rPr>
      </w:pPr>
    </w:p>
    <w:p w14:paraId="3322FC63">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方正仿宋_GBK" w:hAnsi="方正仿宋_GBK" w:eastAsia="楷体_GB2312" w:cs="方正仿宋_GBK"/>
          <w:color w:val="auto"/>
          <w:sz w:val="28"/>
          <w:szCs w:val="28"/>
          <w:highlight w:val="none"/>
          <w:u w:val="none"/>
        </w:rPr>
      </w:pPr>
    </w:p>
    <w:p w14:paraId="372C4C7B">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方正仿宋_GBK" w:hAnsi="方正仿宋_GBK" w:eastAsia="楷体_GB2312" w:cs="方正仿宋_GBK"/>
          <w:color w:val="auto"/>
          <w:sz w:val="28"/>
          <w:szCs w:val="28"/>
          <w:highlight w:val="none"/>
          <w:u w:val="none"/>
        </w:rPr>
      </w:pPr>
    </w:p>
    <w:p w14:paraId="6F375E6C">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方正仿宋_GBK" w:hAnsi="方正仿宋_GBK" w:eastAsia="楷体_GB2312" w:cs="方正仿宋_GBK"/>
          <w:color w:val="auto"/>
          <w:sz w:val="28"/>
          <w:szCs w:val="28"/>
          <w:highlight w:val="none"/>
          <w:u w:val="none"/>
        </w:rPr>
      </w:pPr>
    </w:p>
    <w:p w14:paraId="52BE27ED">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方正仿宋_GBK" w:hAnsi="方正仿宋_GBK" w:eastAsia="楷体_GB2312" w:cs="方正仿宋_GBK"/>
          <w:color w:val="auto"/>
          <w:sz w:val="28"/>
          <w:szCs w:val="28"/>
          <w:highlight w:val="none"/>
          <w:u w:val="none"/>
        </w:rPr>
      </w:pPr>
    </w:p>
    <w:p w14:paraId="0E048190">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default" w:ascii="方正仿宋_GBK" w:hAnsi="方正仿宋_GBK" w:eastAsia="方正小标宋简体" w:cs="方正仿宋_GBK"/>
          <w:b/>
          <w:bCs/>
          <w:color w:val="auto"/>
          <w:sz w:val="44"/>
          <w:szCs w:val="44"/>
          <w:highlight w:val="none"/>
          <w:u w:val="none"/>
          <w:lang w:val="en-US" w:eastAsia="zh-CN"/>
        </w:rPr>
      </w:pPr>
      <w:r>
        <w:rPr>
          <w:rFonts w:hint="eastAsia" w:ascii="方正仿宋_GBK" w:hAnsi="方正仿宋_GBK" w:eastAsia="方正小标宋简体" w:cs="方正仿宋_GBK"/>
          <w:b/>
          <w:bCs/>
          <w:color w:val="auto"/>
          <w:sz w:val="44"/>
          <w:szCs w:val="44"/>
          <w:highlight w:val="none"/>
          <w:u w:val="none"/>
          <w:lang w:val="en-US" w:eastAsia="zh-CN"/>
        </w:rPr>
        <w:t>门头沟区“十五五”时期民政事业发展规划</w:t>
      </w:r>
    </w:p>
    <w:p w14:paraId="2300A12C">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4611DF8E">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right="0" w:rightChars="0" w:firstLine="0" w:firstLineChars="0"/>
        <w:jc w:val="center"/>
        <w:textAlignment w:val="auto"/>
        <w:rPr>
          <w:rFonts w:hint="eastAsia" w:ascii="楷体_GB2312" w:hAnsi="楷体_GB2312" w:eastAsia="楷体_GB2312" w:cs="楷体_GB2312"/>
          <w:b w:val="0"/>
          <w:bCs w:val="0"/>
          <w:color w:val="auto"/>
          <w:sz w:val="36"/>
          <w:szCs w:val="36"/>
          <w:highlight w:val="none"/>
          <w:u w:val="none"/>
          <w:lang w:val="en-US" w:eastAsia="zh-CN"/>
        </w:rPr>
      </w:pPr>
      <w:r>
        <w:rPr>
          <w:rFonts w:hint="eastAsia" w:ascii="楷体_GB2312" w:hAnsi="楷体_GB2312" w:eastAsia="楷体_GB2312" w:cs="楷体_GB2312"/>
          <w:b w:val="0"/>
          <w:bCs w:val="0"/>
          <w:color w:val="auto"/>
          <w:sz w:val="36"/>
          <w:szCs w:val="36"/>
          <w:highlight w:val="none"/>
          <w:u w:val="none"/>
          <w:lang w:val="en-US" w:eastAsia="zh-CN"/>
        </w:rPr>
        <w:t>（征求意见稿）</w:t>
      </w:r>
    </w:p>
    <w:p w14:paraId="57E27F04">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48F8027E">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1E271BA9">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47B7B7A6">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598FF57F">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5AFD05BF">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3BE2E52F">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0FD29084">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1E1C9FA8">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274DFA15">
      <w:pPr>
        <w:pStyle w:val="32"/>
        <w:rPr>
          <w:rFonts w:hint="eastAsia"/>
          <w:color w:val="auto"/>
          <w:highlight w:val="none"/>
          <w:u w:val="none"/>
          <w:lang w:val="en-US" w:eastAsia="zh-CN"/>
        </w:rPr>
      </w:pPr>
    </w:p>
    <w:p w14:paraId="69077142">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center"/>
        <w:textAlignment w:val="auto"/>
        <w:rPr>
          <w:rFonts w:hint="eastAsia" w:ascii="方正仿宋_GBK" w:hAnsi="方正仿宋_GBK" w:eastAsia="方正小标宋简体" w:cs="方正仿宋_GBK"/>
          <w:color w:val="auto"/>
          <w:sz w:val="44"/>
          <w:szCs w:val="44"/>
          <w:highlight w:val="none"/>
          <w:u w:val="none"/>
          <w:lang w:val="en-US" w:eastAsia="zh-CN"/>
        </w:rPr>
      </w:pPr>
    </w:p>
    <w:p w14:paraId="5509119A">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firstLine="0" w:firstLineChars="0"/>
        <w:jc w:val="both"/>
        <w:textAlignment w:val="auto"/>
        <w:rPr>
          <w:rFonts w:hint="eastAsia" w:ascii="楷体_GB2312" w:hAnsi="楷体_GB2312" w:eastAsia="楷体_GB2312" w:cs="楷体_GB2312"/>
          <w:b w:val="0"/>
          <w:bCs w:val="0"/>
          <w:color w:val="auto"/>
          <w:sz w:val="36"/>
          <w:szCs w:val="36"/>
          <w:highlight w:val="none"/>
          <w:u w:val="none"/>
          <w:lang w:val="en-US" w:eastAsia="zh-CN"/>
        </w:rPr>
      </w:pPr>
    </w:p>
    <w:p w14:paraId="24F04158">
      <w:pPr>
        <w:keepNext w:val="0"/>
        <w:keepLines w:val="0"/>
        <w:pageBreakBefore w:val="0"/>
        <w:widowControl w:val="0"/>
        <w:kinsoku/>
        <w:wordWrap/>
        <w:overflowPunct w:val="0"/>
        <w:topLinePunct w:val="0"/>
        <w:autoSpaceDE/>
        <w:autoSpaceDN/>
        <w:bidi w:val="0"/>
        <w:adjustRightInd/>
        <w:snapToGrid/>
        <w:spacing w:afterAutospacing="0" w:line="560" w:lineRule="exact"/>
        <w:ind w:left="0" w:leftChars="0" w:right="0" w:rightChars="0" w:firstLine="0" w:firstLineChars="0"/>
        <w:jc w:val="center"/>
        <w:textAlignment w:val="auto"/>
        <w:rPr>
          <w:rFonts w:hint="eastAsia" w:ascii="方正仿宋_GBK" w:hAnsi="方正仿宋_GBK" w:eastAsia="黑体" w:cs="方正仿宋_GBK"/>
          <w:color w:val="auto"/>
          <w:sz w:val="28"/>
          <w:szCs w:val="28"/>
          <w:highlight w:val="none"/>
          <w:u w:val="none"/>
        </w:rPr>
      </w:pPr>
      <w:r>
        <w:rPr>
          <w:rFonts w:hint="eastAsia" w:ascii="楷体_GB2312" w:hAnsi="楷体_GB2312" w:eastAsia="楷体_GB2312" w:cs="楷体_GB2312"/>
          <w:b w:val="0"/>
          <w:bCs w:val="0"/>
          <w:color w:val="auto"/>
          <w:sz w:val="36"/>
          <w:szCs w:val="36"/>
          <w:highlight w:val="none"/>
          <w:u w:val="none"/>
          <w:lang w:val="en-US" w:eastAsia="zh-CN"/>
        </w:rPr>
        <w:t xml:space="preserve">  （2026年5月）</w:t>
      </w:r>
    </w:p>
    <w:p w14:paraId="07E68D65">
      <w:pPr>
        <w:spacing w:line="560" w:lineRule="exact"/>
        <w:rPr>
          <w:rFonts w:ascii="仿宋_GB2312" w:hAnsi="仿宋_GB2312" w:eastAsia="仿宋_GB2312" w:cs="仿宋_GB2312"/>
          <w:sz w:val="32"/>
          <w:szCs w:val="32"/>
        </w:rPr>
      </w:pPr>
    </w:p>
    <w:p w14:paraId="5E861B54">
      <w:pPr>
        <w:spacing w:line="560" w:lineRule="exact"/>
        <w:rPr>
          <w:rFonts w:ascii="仿宋_GB2312" w:hAnsi="仿宋_GB2312" w:eastAsia="仿宋_GB2312" w:cs="仿宋_GB2312"/>
          <w:sz w:val="32"/>
          <w:szCs w:val="32"/>
        </w:rPr>
      </w:pPr>
    </w:p>
    <w:p w14:paraId="5A9B80E3">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rPr>
          <w:rStyle w:val="33"/>
          <w:rFonts w:hint="eastAsia" w:ascii="黑体" w:hAnsi="黑体" w:eastAsia="黑体"/>
          <w:color w:val="auto"/>
          <w:kern w:val="2"/>
          <w:sz w:val="44"/>
          <w:szCs w:val="44"/>
          <w:highlight w:val="none"/>
          <w:u w:val="none"/>
          <w:lang w:val="en-US" w:eastAsia="zh-CN" w:bidi="ar-SA"/>
        </w:rPr>
      </w:pPr>
      <w:bookmarkStart w:id="0" w:name="_Toc228402859"/>
      <w:bookmarkStart w:id="1" w:name="_Toc1346406807"/>
      <w:bookmarkStart w:id="2" w:name="_Toc779132126"/>
      <w:bookmarkStart w:id="3" w:name="_Toc316150373"/>
      <w:bookmarkStart w:id="4" w:name="_Toc1367217780"/>
      <w:bookmarkStart w:id="5" w:name="_Toc2109268749"/>
      <w:bookmarkStart w:id="6" w:name="_Toc1818839529"/>
      <w:bookmarkStart w:id="7" w:name="_Toc1524264360"/>
      <w:bookmarkStart w:id="8" w:name="_Toc1469334467"/>
      <w:bookmarkStart w:id="9" w:name="_Toc1394155145"/>
      <w:bookmarkStart w:id="10" w:name="_Toc1065164881"/>
      <w:bookmarkStart w:id="11" w:name="_Toc1231629728"/>
      <w:bookmarkStart w:id="12" w:name="_Toc1119383527"/>
      <w:bookmarkStart w:id="13" w:name="_Toc1285613989"/>
      <w:bookmarkStart w:id="14" w:name="_Toc1518805167"/>
      <w:r>
        <w:rPr>
          <w:rStyle w:val="33"/>
          <w:rFonts w:hint="eastAsia" w:ascii="黑体" w:hAnsi="黑体" w:eastAsia="黑体"/>
          <w:color w:val="auto"/>
          <w:kern w:val="2"/>
          <w:sz w:val="44"/>
          <w:szCs w:val="44"/>
          <w:highlight w:val="none"/>
          <w:u w:val="none"/>
          <w:lang w:val="en-US" w:eastAsia="zh-CN" w:bidi="ar-SA"/>
        </w:rPr>
        <w:t>目    录</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6B2A8090">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sz w:val="30"/>
          <w:szCs w:val="30"/>
          <w:highlight w:val="none"/>
        </w:rPr>
      </w:pPr>
      <w:r>
        <w:rPr>
          <w:rFonts w:hint="eastAsia" w:ascii="仿宋_GB2312" w:hAnsi="仿宋_GB2312" w:eastAsia="仿宋_GB2312" w:cs="仿宋_GB2312"/>
          <w:color w:val="auto"/>
          <w:sz w:val="30"/>
          <w:szCs w:val="30"/>
          <w:highlight w:val="none"/>
          <w:u w:val="none"/>
        </w:rPr>
        <w:fldChar w:fldCharType="begin"/>
      </w:r>
      <w:r>
        <w:rPr>
          <w:rFonts w:hint="eastAsia" w:ascii="仿宋_GB2312" w:hAnsi="仿宋_GB2312" w:eastAsia="仿宋_GB2312" w:cs="仿宋_GB2312"/>
          <w:color w:val="auto"/>
          <w:sz w:val="30"/>
          <w:szCs w:val="30"/>
          <w:highlight w:val="none"/>
          <w:u w:val="none"/>
        </w:rPr>
        <w:instrText xml:space="preserve">TOC \o "1-3" \h \u </w:instrText>
      </w:r>
      <w:r>
        <w:rPr>
          <w:rFonts w:hint="eastAsia" w:ascii="仿宋_GB2312" w:hAnsi="仿宋_GB2312" w:eastAsia="仿宋_GB2312" w:cs="仿宋_GB2312"/>
          <w:color w:val="auto"/>
          <w:sz w:val="30"/>
          <w:szCs w:val="30"/>
          <w:highlight w:val="none"/>
          <w:u w:val="none"/>
        </w:rPr>
        <w:fldChar w:fldCharType="separate"/>
      </w:r>
    </w:p>
    <w:p w14:paraId="1EDA853E">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_Toc54999595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val="en-US" w:eastAsia="zh-CN"/>
        </w:rPr>
        <w:t>第一部分 规划背景</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p>
    <w:p w14:paraId="1616C05D">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sz w:val="32"/>
          <w:szCs w:val="32"/>
          <w:highlight w:val="none"/>
          <w:lang w:val="en-US" w:eastAsia="zh-CN"/>
        </w:rPr>
        <w:t>十四五”期间民政事业取得显著成效</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_Toc1560767812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p>
    <w:p w14:paraId="72EE9D9B">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二、“十五五”时期是我区民政事业加速发展关键阶段</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_Toc1560767812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color w:val="auto"/>
          <w:sz w:val="32"/>
          <w:szCs w:val="32"/>
          <w:highlight w:val="none"/>
          <w:u w:val="none"/>
        </w:rPr>
        <w:fldChar w:fldCharType="end"/>
      </w:r>
    </w:p>
    <w:p w14:paraId="7F00541E">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_Toc54999595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val="en-US" w:eastAsia="zh-CN"/>
        </w:rPr>
        <w:t>第二部分  指导方针、基本原则和总体目标</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w:t>
      </w:r>
    </w:p>
    <w:p w14:paraId="0C2B6233">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t>一、指导方针</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_Toc749057200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w:t>
      </w:r>
    </w:p>
    <w:p w14:paraId="77A829CB">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二、基本原则</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_Toc963300815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w:t>
      </w:r>
    </w:p>
    <w:p w14:paraId="37618A8E">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color w:val="auto"/>
          <w:sz w:val="32"/>
          <w:szCs w:val="32"/>
          <w:highlight w:val="none"/>
          <w:u w:val="none"/>
        </w:rPr>
        <w:t>三、发展目标</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_Toc963300815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w:t>
      </w:r>
    </w:p>
    <w:p w14:paraId="335575D1">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pacing w:val="-11"/>
          <w:sz w:val="32"/>
          <w:szCs w:val="32"/>
          <w:highlight w:val="none"/>
          <w:u w:val="none"/>
        </w:rPr>
        <w:t>第三部分 建设城乡统筹的高质量老龄养老服务工作体系</w:t>
      </w:r>
      <w:r>
        <w:rPr>
          <w:rFonts w:hint="eastAsia" w:ascii="仿宋_GB2312" w:hAnsi="仿宋_GB2312" w:eastAsia="仿宋_GB2312" w:cs="仿宋_GB2312"/>
          <w:color w:val="auto"/>
          <w:spacing w:val="-11"/>
          <w:sz w:val="32"/>
          <w:szCs w:val="32"/>
          <w:highlight w:val="none"/>
          <w:u w:val="none"/>
        </w:rPr>
        <w:fldChar w:fldCharType="begin"/>
      </w:r>
      <w:r>
        <w:rPr>
          <w:rFonts w:hint="eastAsia" w:ascii="仿宋_GB2312" w:hAnsi="仿宋_GB2312" w:eastAsia="仿宋_GB2312" w:cs="仿宋_GB2312"/>
          <w:spacing w:val="-11"/>
          <w:sz w:val="32"/>
          <w:szCs w:val="32"/>
          <w:highlight w:val="none"/>
        </w:rPr>
        <w:instrText xml:space="preserve"> HYPERLINK \l _Toc1546441946 </w:instrText>
      </w:r>
      <w:r>
        <w:rPr>
          <w:rFonts w:hint="eastAsia" w:ascii="仿宋_GB2312" w:hAnsi="仿宋_GB2312" w:eastAsia="仿宋_GB2312" w:cs="仿宋_GB2312"/>
          <w:spacing w:val="-11"/>
          <w:sz w:val="32"/>
          <w:szCs w:val="32"/>
          <w:highlight w:val="none"/>
        </w:rPr>
        <w:fldChar w:fldCharType="separate"/>
      </w:r>
      <w:r>
        <w:rPr>
          <w:rFonts w:hint="eastAsia" w:ascii="仿宋_GB2312" w:hAnsi="仿宋_GB2312" w:eastAsia="仿宋_GB2312" w:cs="仿宋_GB2312"/>
          <w:spacing w:val="-11"/>
          <w:sz w:val="32"/>
          <w:szCs w:val="32"/>
          <w:highlight w:val="none"/>
        </w:rPr>
        <w:tab/>
      </w:r>
      <w:r>
        <w:rPr>
          <w:rFonts w:hint="eastAsia" w:ascii="仿宋_GB2312" w:hAnsi="仿宋_GB2312" w:eastAsia="仿宋_GB2312" w:cs="仿宋_GB2312"/>
          <w:spacing w:val="-11"/>
          <w:sz w:val="32"/>
          <w:szCs w:val="32"/>
          <w:highlight w:val="none"/>
          <w:lang w:val="en-US" w:eastAsia="zh-CN"/>
        </w:rPr>
        <w:t>1</w:t>
      </w:r>
      <w:r>
        <w:rPr>
          <w:rFonts w:hint="eastAsia" w:ascii="仿宋_GB2312" w:hAnsi="仿宋_GB2312" w:eastAsia="仿宋_GB2312" w:cs="仿宋_GB2312"/>
          <w:color w:val="auto"/>
          <w:spacing w:val="-11"/>
          <w:sz w:val="32"/>
          <w:szCs w:val="32"/>
          <w:highlight w:val="none"/>
          <w:u w:val="none"/>
        </w:rPr>
        <w:fldChar w:fldCharType="end"/>
      </w:r>
      <w:r>
        <w:rPr>
          <w:rFonts w:hint="eastAsia" w:ascii="仿宋_GB2312" w:hAnsi="仿宋_GB2312" w:eastAsia="仿宋_GB2312" w:cs="仿宋_GB2312"/>
          <w:color w:val="auto"/>
          <w:spacing w:val="-11"/>
          <w:sz w:val="32"/>
          <w:szCs w:val="32"/>
          <w:highlight w:val="none"/>
          <w:u w:val="none"/>
          <w:lang w:val="en-US" w:eastAsia="zh-CN"/>
        </w:rPr>
        <w:t>6</w:t>
      </w:r>
    </w:p>
    <w:p w14:paraId="1E3BBBB4">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1278" w:leftChars="304" w:hanging="640" w:hanging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_Toc180488245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一、立足“如我养老”，凝聚积极应对人口老龄化思想共识</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17</w:t>
      </w:r>
    </w:p>
    <w:p w14:paraId="38478BC9">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_Toc1321256217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二、锚定“老有所养”，全面满足老年人多样化需求</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18</w:t>
      </w:r>
    </w:p>
    <w:p w14:paraId="091CEDE6">
      <w:pPr>
        <w:pStyle w:val="11"/>
        <w:keepNext w:val="0"/>
        <w:keepLines w:val="0"/>
        <w:pageBreakBefore w:val="0"/>
        <w:tabs>
          <w:tab w:val="right" w:leader="dot" w:pos="8845"/>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_Toc1321256217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三、倡导“银龄共治”，支持扩大老年人社会参与</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0</w:t>
      </w:r>
    </w:p>
    <w:p w14:paraId="1AD374D9">
      <w:pPr>
        <w:pStyle w:val="11"/>
        <w:keepNext w:val="0"/>
        <w:keepLines w:val="0"/>
        <w:pageBreakBefore w:val="0"/>
        <w:tabs>
          <w:tab w:val="right" w:leader="dot" w:pos="8845"/>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_Toc1321256217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四、着眼“呼有所应”，全方位保障老年人各项权益</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0</w:t>
      </w:r>
    </w:p>
    <w:p w14:paraId="542AFD9F">
      <w:pPr>
        <w:pStyle w:val="11"/>
        <w:keepNext w:val="0"/>
        <w:keepLines w:val="0"/>
        <w:pageBreakBefore w:val="0"/>
        <w:tabs>
          <w:tab w:val="right" w:leader="dot" w:pos="8845"/>
        </w:tabs>
        <w:kinsoku/>
        <w:wordWrap/>
        <w:overflowPunct/>
        <w:topLinePunct w:val="0"/>
        <w:autoSpaceDE/>
        <w:autoSpaceDN/>
        <w:bidi w:val="0"/>
        <w:adjustRightInd/>
        <w:snapToGrid/>
        <w:spacing w:line="560" w:lineRule="exact"/>
        <w:ind w:left="1278" w:leftChars="304" w:hanging="640" w:hanging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_Toc1321256217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五、聚力“银发经济”，推动夯实应对人口老龄化物质基础</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w:t>
      </w:r>
    </w:p>
    <w:p w14:paraId="4A3FB7C2">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_Toc1527072604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六、围绕制度建设，构建多维组织支持保障网络</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w:t>
      </w:r>
    </w:p>
    <w:p w14:paraId="4A2E6723">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_Toc280617337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第四部分 健全分层分类、精准高效的社会救助体系</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w:t>
      </w:r>
    </w:p>
    <w:p w14:paraId="26C2E1E1">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_Toc1527072604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一、强化社会救助制度体系建设</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w:t>
      </w:r>
    </w:p>
    <w:p w14:paraId="60CFEAD2">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_Toc750236789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二、推动救助服务数字化精准化</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w:t>
      </w:r>
    </w:p>
    <w:p w14:paraId="3754E73B">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_Toc2121578598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三、提升急难型救助和灾害应急服务能力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w:t>
      </w:r>
    </w:p>
    <w:p w14:paraId="3AF627BC">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_Toc2044210566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四、强化社会力量参与</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5</w:t>
      </w:r>
    </w:p>
    <w:p w14:paraId="5FDC7398">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_Toc920496940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第五部分 完善社会福利体系，优化特殊群体关爱服务</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6</w:t>
      </w:r>
    </w:p>
    <w:p w14:paraId="206D2E99">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_Toc2044210566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一、完善残疾人福利保障，提升托养服务能力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6</w:t>
      </w:r>
    </w:p>
    <w:p w14:paraId="7BA3A381">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_Toc555049488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二、健全儿童福利保护体系，强化困境儿童关爱服务</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27</w:t>
      </w:r>
    </w:p>
    <w:p w14:paraId="28687D74">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_Toc1118577614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三、推动社会福利设施提档升级，完善服务功能布局</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28</w:t>
      </w:r>
    </w:p>
    <w:p w14:paraId="12658643">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none"/>
          <w:lang w:val="en-US"/>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_Toc1118577614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四、推进福利事业智能化转型与标准化建设</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28</w:t>
      </w:r>
    </w:p>
    <w:p w14:paraId="026B5026">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_Toc252259673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第六部分 提升社会事务管理与公共服务水平</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29</w:t>
      </w:r>
    </w:p>
    <w:p w14:paraId="771AC28B">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_Toc1900979812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一、深化殡葬改革，建设绿色文明殡葬体系</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29</w:t>
      </w:r>
    </w:p>
    <w:p w14:paraId="73B75576">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_Toc356114657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二、提升婚姻登记与家庭服务质量</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0</w:t>
      </w:r>
    </w:p>
    <w:p w14:paraId="2B6B677D">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三、完善见义勇为权益保护与关爱机制</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1</w:t>
      </w:r>
    </w:p>
    <w:p w14:paraId="168EE318">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四、强化行业监管与安全保障</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w:t>
      </w:r>
    </w:p>
    <w:p w14:paraId="3835BCB9">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_Toc897846909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2"/>
          <w:sz w:val="32"/>
          <w:szCs w:val="32"/>
          <w:highlight w:val="none"/>
          <w:lang w:val="en-US" w:eastAsia="zh-CN" w:bidi="ar-SA"/>
        </w:rPr>
        <w:t>第七部分 推进社会治理体系建设，激发社会活力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2</w:t>
      </w:r>
    </w:p>
    <w:p w14:paraId="062BDF51">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_Toc2044210566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一、坚持培育发展并重，促进社会组织规范化发展</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w:t>
      </w:r>
    </w:p>
    <w:p w14:paraId="2360703C">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_Toc555049488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二、提升社会组织参与基层治理与公共服务能力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w:t>
      </w:r>
    </w:p>
    <w:p w14:paraId="681EF3C7">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_Toc1118577614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三、加强慈善制度体系建设，规范公益慈善事业发展</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w:t>
      </w:r>
    </w:p>
    <w:p w14:paraId="5A3F210E">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_Toc1118577614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四、宣传慈善文化，推动慈善事业健康发展</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5</w:t>
      </w:r>
    </w:p>
    <w:p w14:paraId="57FF16E2">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none"/>
          <w:lang w:val="en-US"/>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_Toc1118577614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五、积极稳妥推进行政区划管理</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36</w:t>
      </w:r>
    </w:p>
    <w:p w14:paraId="6E699FBC">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_Toc252259673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第八部分 保障红十字事业稳健有序发展</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37</w:t>
      </w:r>
    </w:p>
    <w:p w14:paraId="1E74CE6B">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_Toc1900979812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一、健全应急救援体系，提升救助响应能力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7</w:t>
      </w:r>
    </w:p>
    <w:p w14:paraId="070ADD15">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_Toc356114657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二、深化应急救护培训，夯实公众生命防线</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38</w:t>
      </w:r>
    </w:p>
    <w:p w14:paraId="26728220">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三、深入开展人道救助，擦亮“博爱在京西”品牌</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38</w:t>
      </w:r>
    </w:p>
    <w:p w14:paraId="0BB29CCF">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四、扎实推进“三献”工作，传递生命关爱理念</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38</w:t>
      </w:r>
    </w:p>
    <w:p w14:paraId="1BCE3194">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lang w:val="en-US"/>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五、弘扬红十字文化，凝聚向上向善力量</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39</w:t>
      </w:r>
    </w:p>
    <w:p w14:paraId="1A01C658">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_Toc897846909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2"/>
          <w:sz w:val="32"/>
          <w:szCs w:val="32"/>
          <w:highlight w:val="none"/>
          <w:lang w:val="en-US" w:eastAsia="zh-CN" w:bidi="ar-SA"/>
        </w:rPr>
        <w:t>第九部分 持续推进京津冀民政事业协同发展</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39</w:t>
      </w:r>
      <w:r>
        <w:rPr>
          <w:rFonts w:hint="eastAsia" w:ascii="仿宋_GB2312" w:hAnsi="仿宋_GB2312" w:eastAsia="仿宋_GB2312" w:cs="仿宋_GB2312"/>
          <w:color w:val="auto"/>
          <w:sz w:val="32"/>
          <w:szCs w:val="32"/>
          <w:highlight w:val="none"/>
          <w:u w:val="none"/>
        </w:rPr>
        <w:fldChar w:fldCharType="end"/>
      </w:r>
    </w:p>
    <w:p w14:paraId="76C3C579">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_Toc1900979812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一、深化养老服务协同发展，打造区域融合新样板</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color w:val="auto"/>
          <w:sz w:val="32"/>
          <w:szCs w:val="32"/>
          <w:highlight w:val="none"/>
          <w:u w:val="none"/>
        </w:rPr>
        <w:fldChar w:fldCharType="end"/>
      </w:r>
    </w:p>
    <w:p w14:paraId="1CD6D4FF">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_Toc356114657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二、推进社会救助协同联动，形成跨界兜底保障体系</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40</w:t>
      </w:r>
    </w:p>
    <w:p w14:paraId="2918A275">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三、加强社会事务协同管理，推动公共服务共建共享</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40</w:t>
      </w:r>
    </w:p>
    <w:p w14:paraId="7F02CA41">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四、推动社会治理协同创新，增强区域共治合力</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41</w:t>
      </w:r>
    </w:p>
    <w:p w14:paraId="35F3BD51">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_Toc897846909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2"/>
          <w:sz w:val="32"/>
          <w:szCs w:val="32"/>
          <w:highlight w:val="none"/>
          <w:lang w:val="en-US" w:eastAsia="zh-CN" w:bidi="ar-SA"/>
        </w:rPr>
        <w:t>第十部分 保障措施</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42</w:t>
      </w:r>
      <w:r>
        <w:rPr>
          <w:rFonts w:hint="eastAsia" w:ascii="仿宋_GB2312" w:hAnsi="仿宋_GB2312" w:eastAsia="仿宋_GB2312" w:cs="仿宋_GB2312"/>
          <w:color w:val="auto"/>
          <w:sz w:val="32"/>
          <w:szCs w:val="32"/>
          <w:highlight w:val="none"/>
          <w:u w:val="none"/>
        </w:rPr>
        <w:fldChar w:fldCharType="end"/>
      </w:r>
    </w:p>
    <w:p w14:paraId="69525CF6">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_Toc1900979812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一、坚持党对民政工作的全面领导</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42</w:t>
      </w:r>
      <w:r>
        <w:rPr>
          <w:rFonts w:hint="eastAsia" w:ascii="仿宋_GB2312" w:hAnsi="仿宋_GB2312" w:eastAsia="仿宋_GB2312" w:cs="仿宋_GB2312"/>
          <w:color w:val="auto"/>
          <w:sz w:val="32"/>
          <w:szCs w:val="32"/>
          <w:highlight w:val="none"/>
          <w:u w:val="none"/>
        </w:rPr>
        <w:fldChar w:fldCharType="end"/>
      </w:r>
    </w:p>
    <w:p w14:paraId="1A18B251">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_Toc356114657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二、融入区域发展大局，彰显幸福民政底色</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42</w:t>
      </w:r>
    </w:p>
    <w:p w14:paraId="01DF4827">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三、提升民政事业人才培育水平</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43</w:t>
      </w:r>
    </w:p>
    <w:p w14:paraId="573F4F49">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四、深入推进法治民政建设</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44</w:t>
      </w:r>
    </w:p>
    <w:p w14:paraId="6B5EBBDA">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_Toc1900979812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五、加快推进数字民政赋</w:t>
      </w:r>
      <w:bookmarkStart w:id="20" w:name="_GoBack"/>
      <w:bookmarkEnd w:id="20"/>
      <w:r>
        <w:rPr>
          <w:rFonts w:hint="eastAsia" w:ascii="仿宋_GB2312" w:hAnsi="仿宋_GB2312" w:eastAsia="仿宋_GB2312" w:cs="仿宋_GB2312"/>
          <w:bCs w:val="0"/>
          <w:sz w:val="32"/>
          <w:szCs w:val="32"/>
          <w:highlight w:val="none"/>
          <w:lang w:val="en" w:eastAsia="zh-CN"/>
        </w:rPr>
        <w:t>能</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44</w:t>
      </w:r>
      <w:r>
        <w:rPr>
          <w:rFonts w:hint="eastAsia" w:ascii="仿宋_GB2312" w:hAnsi="仿宋_GB2312" w:eastAsia="仿宋_GB2312" w:cs="仿宋_GB2312"/>
          <w:color w:val="auto"/>
          <w:sz w:val="32"/>
          <w:szCs w:val="32"/>
          <w:highlight w:val="none"/>
          <w:u w:val="none"/>
        </w:rPr>
        <w:fldChar w:fldCharType="end"/>
      </w:r>
    </w:p>
    <w:p w14:paraId="21255412">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_Toc356114657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六、加强资金投入与设施保障</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45</w:t>
      </w:r>
    </w:p>
    <w:p w14:paraId="38D294C2">
      <w:pPr>
        <w:pStyle w:val="13"/>
        <w:keepNext w:val="0"/>
        <w:keepLines w:val="0"/>
        <w:pageBreakBefore w:val="0"/>
        <w:tabs>
          <w:tab w:val="right" w:leader="dot" w:pos="8845"/>
        </w:tabs>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_Toc721512378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 w:eastAsia="zh-CN"/>
        </w:rPr>
        <w:t>七、守牢安全底线与风险防控机制</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color w:val="auto"/>
          <w:sz w:val="32"/>
          <w:szCs w:val="32"/>
          <w:highlight w:val="none"/>
          <w:u w:val="none"/>
        </w:rPr>
        <w:fldChar w:fldCharType="end"/>
      </w:r>
      <w:r>
        <w:rPr>
          <w:rFonts w:hint="eastAsia" w:ascii="仿宋_GB2312" w:hAnsi="仿宋_GB2312" w:eastAsia="仿宋_GB2312" w:cs="仿宋_GB2312"/>
          <w:color w:val="auto"/>
          <w:sz w:val="32"/>
          <w:szCs w:val="32"/>
          <w:highlight w:val="none"/>
          <w:u w:val="none"/>
          <w:lang w:val="en-US" w:eastAsia="zh-CN"/>
        </w:rPr>
        <w:t>45</w:t>
      </w:r>
    </w:p>
    <w:p w14:paraId="0DBE588F">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sz w:val="32"/>
          <w:szCs w:val="32"/>
          <w:highlight w:val="none"/>
        </w:rPr>
        <w:instrText xml:space="preserve"> HYPERLINK \l _Toc897846909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kern w:val="2"/>
          <w:sz w:val="32"/>
          <w:szCs w:val="32"/>
          <w:highlight w:val="none"/>
          <w:lang w:val="en-US" w:eastAsia="zh-CN" w:bidi="ar-SA"/>
        </w:rPr>
        <w:t>第十一部分 附件</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47</w:t>
      </w:r>
      <w:r>
        <w:rPr>
          <w:rFonts w:hint="eastAsia" w:ascii="仿宋_GB2312" w:hAnsi="仿宋_GB2312" w:eastAsia="仿宋_GB2312" w:cs="仿宋_GB2312"/>
          <w:color w:val="auto"/>
          <w:sz w:val="32"/>
          <w:szCs w:val="32"/>
          <w:highlight w:val="none"/>
          <w:u w:val="none"/>
        </w:rPr>
        <w:fldChar w:fldCharType="end"/>
      </w:r>
    </w:p>
    <w:p w14:paraId="11B0501D">
      <w:pPr>
        <w:rPr>
          <w:rFonts w:hint="eastAsia" w:ascii="仿宋_GB2312" w:hAnsi="仿宋_GB2312" w:eastAsia="仿宋_GB2312" w:cs="仿宋_GB2312"/>
          <w:color w:val="auto"/>
          <w:sz w:val="32"/>
          <w:szCs w:val="32"/>
          <w:highlight w:val="none"/>
          <w:u w:val="none"/>
          <w:lang w:val="en-US" w:eastAsia="zh-CN"/>
        </w:rPr>
      </w:pPr>
    </w:p>
    <w:p w14:paraId="01D31381">
      <w:pPr>
        <w:rPr>
          <w:rFonts w:hint="eastAsia"/>
          <w:lang w:val="en-US" w:eastAsia="zh-CN"/>
        </w:rPr>
      </w:pPr>
    </w:p>
    <w:p w14:paraId="654F3568">
      <w:pPr>
        <w:rPr>
          <w:rFonts w:hint="default"/>
          <w:lang w:val="en-US" w:eastAsia="zh-CN"/>
        </w:rPr>
      </w:pPr>
    </w:p>
    <w:p w14:paraId="3EFC7B70">
      <w:pPr>
        <w:pStyle w:val="11"/>
        <w:keepNext w:val="0"/>
        <w:keepLines w:val="0"/>
        <w:pageBreakBefore w:val="0"/>
        <w:tabs>
          <w:tab w:val="right" w:leader="dot" w:pos="8845"/>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0"/>
          <w:szCs w:val="30"/>
          <w:highlight w:val="none"/>
          <w:u w:val="none"/>
        </w:rPr>
        <w:fldChar w:fldCharType="end"/>
      </w:r>
    </w:p>
    <w:p w14:paraId="715BAC1D">
      <w:pPr>
        <w:keepNext w:val="0"/>
        <w:keepLines w:val="0"/>
        <w:pageBreakBefore w:val="0"/>
        <w:widowControl/>
        <w:kinsoku/>
        <w:wordWrap/>
        <w:overflowPunct/>
        <w:topLinePunct w:val="0"/>
        <w:autoSpaceDE/>
        <w:autoSpaceDN/>
        <w:bidi w:val="0"/>
        <w:adjustRightInd/>
        <w:snapToGrid/>
        <w:spacing w:line="560" w:lineRule="exact"/>
        <w:textAlignment w:val="auto"/>
        <w:rPr>
          <w:rStyle w:val="33"/>
          <w:rFonts w:hint="eastAsia" w:ascii="仿宋_GB2312" w:hAnsi="仿宋_GB2312" w:eastAsia="仿宋_GB2312" w:cs="仿宋_GB2312"/>
          <w:bCs/>
          <w:color w:val="auto"/>
          <w:sz w:val="24"/>
          <w:szCs w:val="24"/>
          <w:highlight w:val="none"/>
          <w:u w:val="none"/>
          <w:lang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0502FAE2">
      <w:pPr>
        <w:spacing w:line="560" w:lineRule="exact"/>
        <w:jc w:val="center"/>
        <w:rPr>
          <w:rFonts w:ascii="黑体" w:hAnsi="黑体" w:eastAsia="黑体" w:cs="黑体"/>
          <w:sz w:val="36"/>
          <w:szCs w:val="36"/>
        </w:rPr>
      </w:pPr>
      <w:r>
        <w:rPr>
          <w:rFonts w:hint="eastAsia" w:ascii="黑体" w:hAnsi="黑体" w:eastAsia="黑体" w:cs="黑体"/>
          <w:sz w:val="36"/>
          <w:szCs w:val="36"/>
        </w:rPr>
        <w:t>第一部分 规划背景</w:t>
      </w:r>
    </w:p>
    <w:p w14:paraId="1A054C1E">
      <w:pPr>
        <w:spacing w:line="560" w:lineRule="exact"/>
        <w:ind w:firstLine="640" w:firstLineChars="200"/>
        <w:rPr>
          <w:rFonts w:ascii="黑体" w:hAnsi="黑体" w:eastAsia="黑体" w:cs="黑体"/>
          <w:sz w:val="32"/>
          <w:szCs w:val="32"/>
        </w:rPr>
      </w:pPr>
    </w:p>
    <w:p w14:paraId="3DA88DE7">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一、“十四五”期间民政事业取得显著成效</w:t>
      </w:r>
    </w:p>
    <w:p w14:paraId="736AABB8">
      <w:pPr>
        <w:spacing w:line="560" w:lineRule="exact"/>
        <w:ind w:firstLine="640" w:firstLineChars="200"/>
        <w:rPr>
          <w:rFonts w:hint="eastAsia" w:ascii="仿宋_GB2312" w:hAnsi="宋体" w:eastAsia="仿宋_GB2312" w:cs="仿宋_GB2312"/>
          <w:sz w:val="32"/>
          <w:szCs w:val="32"/>
          <w:lang w:eastAsia="zh-CN"/>
        </w:rPr>
      </w:pPr>
      <w:r>
        <w:rPr>
          <w:rFonts w:hint="eastAsia" w:ascii="仿宋_GB2312" w:hAnsi="宋体" w:eastAsia="仿宋_GB2312" w:cs="仿宋_GB2312"/>
          <w:sz w:val="32"/>
          <w:szCs w:val="32"/>
        </w:rPr>
        <w:t>“十四五”以来，门头沟区民政系统坚持以习近平新时代中国特色社会主义思想为指导，坚决执行党中央决策部署和市委、市政府工作要求，牢牢把握新时代民政工作的政治方向和民生导向</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rPr>
        <w:t>立足普惠性、基础性、兜底性民生职能，持续健全民生保障体系、完善基层治理机制、提升公共服务效能，大力推动民政事业提质增效转型发展。面对海河“23·7”流域性特大洪水等严峻考验，闻令而动、履职尽责，在应急救助和公益慈善中坚守民生底线、彰显民政担当。经过不懈努力，全区民政事业发展基础更加坚实，服务体系更加完善，治理能力稳步提升，群众获得感、幸福感、安全感持续增强</w:t>
      </w:r>
      <w:r>
        <w:rPr>
          <w:rFonts w:hint="eastAsia" w:ascii="仿宋_GB2312" w:hAnsi="宋体" w:eastAsia="仿宋_GB2312" w:cs="仿宋_GB2312"/>
          <w:sz w:val="32"/>
          <w:szCs w:val="32"/>
          <w:lang w:eastAsia="zh-CN"/>
        </w:rPr>
        <w:t>。</w:t>
      </w:r>
    </w:p>
    <w:p w14:paraId="0DC10D6F">
      <w:pPr>
        <w:spacing w:line="560" w:lineRule="exact"/>
        <w:ind w:firstLine="640" w:firstLineChars="200"/>
        <w:rPr>
          <w:rFonts w:ascii="仿宋_GB2312" w:hAnsi="宋体" w:eastAsia="仿宋_GB2312" w:cs="仿宋_GB2312"/>
          <w:sz w:val="32"/>
          <w:szCs w:val="32"/>
        </w:rPr>
      </w:pPr>
      <w:r>
        <w:rPr>
          <w:rFonts w:hint="eastAsia" w:ascii="楷体_GB2312" w:hAnsi="楷体_GB2312" w:eastAsia="楷体_GB2312" w:cs="楷体_GB2312"/>
          <w:sz w:val="32"/>
          <w:szCs w:val="32"/>
        </w:rPr>
        <w:t>（一）老龄事业和养老服务体系建设取得显著进展。</w:t>
      </w:r>
      <w:r>
        <w:rPr>
          <w:rFonts w:hint="eastAsia" w:ascii="仿宋_GB2312" w:hAnsi="宋体" w:eastAsia="仿宋_GB2312" w:cs="仿宋_GB2312"/>
          <w:sz w:val="32"/>
          <w:szCs w:val="32"/>
        </w:rPr>
        <w:t>推进多元融合型养老服务体系建设改革。出台《进一步推进多元融合型养老服务体系建设改革实施方案》，围绕推动“四项供给体系”“四项支撑体系”“三项保障体系”3个方面，提出11项重点改革创新任务，全面推进老龄事业和养老服务发展。完善养老服务布局,充实完善“以院统站带点服务居家”体系布局，打造城区“无围墙的养老幸福院”和山区“养老幸福村”。构建养老服务联合体,以区级养老服务指导中心统筹，镇街养老服务中心为综合枢纽，养老机构、养老驿站为延伸网点，专业服务商为协同网点，与社区卫生服务中心等机构协同，覆盖区、镇街、社区全域的三级居家社区养老服务供给网络基本形成。加强养老设施建设,至“十四五”期末，全区累计建成养老机构14家，养老驿站43个，助餐点60家，7镇48村建成农村邻里互助点55个，建设家庭照护床位676张，为176名分散供养城乡特困老年人实施居家适老化改造；龙泉镇养老照料中心灾后异地建设项目和潭柘寺镇社会福利中心灾后异地建设项目开工建设。</w:t>
      </w:r>
    </w:p>
    <w:p w14:paraId="1DAE2426">
      <w:pPr>
        <w:spacing w:line="560" w:lineRule="exact"/>
        <w:ind w:firstLine="640" w:firstLineChars="200"/>
        <w:rPr>
          <w:rFonts w:ascii="仿宋_GB2312" w:hAnsi="宋体" w:eastAsia="仿宋_GB2312" w:cs="仿宋_GB2312"/>
          <w:sz w:val="32"/>
          <w:szCs w:val="32"/>
        </w:rPr>
      </w:pPr>
      <w:r>
        <w:rPr>
          <w:rFonts w:hint="eastAsia" w:ascii="楷体_GB2312" w:hAnsi="楷体_GB2312" w:eastAsia="楷体_GB2312" w:cs="楷体_GB2312"/>
          <w:sz w:val="32"/>
          <w:szCs w:val="32"/>
        </w:rPr>
        <w:t>（二）困难群众救助与社会福利保障兜牢兜实。</w:t>
      </w:r>
      <w:r>
        <w:rPr>
          <w:rFonts w:hint="eastAsia" w:ascii="仿宋_GB2312" w:hAnsi="宋体" w:eastAsia="仿宋_GB2312" w:cs="仿宋_GB2312"/>
          <w:sz w:val="32"/>
          <w:szCs w:val="32"/>
        </w:rPr>
        <w:t>健全分层分类困难群众救助体系。充分发挥困难群众基本生活保障工作联席会议协调机制在“救急难”和“兜底线”方面的重要作用；针对13个镇街开展社会救助专项治理，进一步明确村居在发现、报告和协助困难群众申请社会救助事项方面的责任，强化主动发现+高效服务闭环运行的社会救助工作模式；“十四五”时期，区接济救助事务中心临时救助和长期照料总床位数达到50张，救助流浪乞讨人员600余人次。“弱有所扶”水平全面提高。及时完成最低生活保障标准从家庭月人均1245元提升至1480元等相关工作任务。“十四五”末期，门头沟区共保障城乡低保、特困、低收入等社会救助对象4517户、8306人，约占全区户籍人口的3.2%，对111户、114名有集中供养意愿的特困老人进行集中供养；累计支出各项社会救助资金8.84亿余元，累计救助37万余人次。完善残疾人服务体系。“十四五”期间，累计为残疾人服务对象发放生活补贴、重度残疾人护理补贴43万人次。加强儿童福利保护体系建设。区儿童福利院与未保中心一体化转型完成，全区镇街未保站实现全覆盖，配备儿童督导员13名、儿童主任309名，区儿童福利院获评“北京市未成年人保护工作先进集体（2017—2022）”。</w:t>
      </w:r>
    </w:p>
    <w:p w14:paraId="77A39061">
      <w:pPr>
        <w:spacing w:line="560" w:lineRule="exact"/>
        <w:ind w:firstLine="640" w:firstLineChars="200"/>
        <w:rPr>
          <w:rFonts w:ascii="仿宋_GB2312" w:hAnsi="宋体" w:eastAsia="仿宋_GB2312" w:cs="仿宋_GB2312"/>
          <w:sz w:val="32"/>
          <w:szCs w:val="32"/>
        </w:rPr>
      </w:pPr>
      <w:r>
        <w:rPr>
          <w:rFonts w:hint="eastAsia" w:ascii="楷体_GB2312" w:hAnsi="楷体_GB2312" w:eastAsia="楷体_GB2312" w:cs="楷体_GB2312"/>
          <w:sz w:val="32"/>
          <w:szCs w:val="32"/>
        </w:rPr>
        <w:t>（三）基本社会服务质量持续提升。</w:t>
      </w:r>
      <w:r>
        <w:rPr>
          <w:rFonts w:hint="eastAsia" w:ascii="仿宋_GB2312" w:hAnsi="宋体" w:eastAsia="仿宋_GB2312" w:cs="仿宋_GB2312"/>
          <w:sz w:val="32"/>
          <w:szCs w:val="32"/>
        </w:rPr>
        <w:t>完善婚姻登记便民服务体系。规范婚姻登记服务，推行“一站式”服务，整合婚姻登记、婚检、婚育咨询等多项功能，为群众提供高效、便捷、全面的服务体验；加强婚登人才建设，满足婚姻登记需求，自2023年6月1日起开展“跨省通办”工作，自2025年5月10日起开展“全国通办”工作；拓展婚登服务内容，2021年3月中心联合区妇联等单位成立北京市门头沟区婚姻登记中心人民调解委员会，依托中心设立“幸福婚姻学堂”、婚姻家庭辅导室，开展婚前辅导、矛盾调适和劝解服务，设立独立颁证大厅，免费为结婚新人提供简约颁证服务。构建现代殡葬服务格局。加大殡葬服务供给，制定《门头沟区殡葬改革工作实施方案》，推进区级公益性公墓和天山陵园墓地扩容项目实施，印发《门头沟区殡葬工作实施方案》，推动门头沟殡葬事业建设；持续推进殡葬领域专项整治，取得显著成果，加强殡葬市场监管，会同市场监管部门加强对殡葬设备和用品供应商、殡葬服务提供方的监管，引导相关从业人员守法、诚信经营，加强内控管理，防范安全、廉政等方面风险隐患；倡导殡葬新风尚，加大宣传力度，鼓励倡导选择树葬、花葬、草坪葬、海撒等新型节地生态安葬。全方位落实见义勇为人员权益保障，大力宣传门头沟见义勇为人员事迹，门头沟区见义勇为人员李伟伦获评中央政法委“第十五届全国见义勇为英雄模范”</w:t>
      </w:r>
      <w:r>
        <w:rPr>
          <w:rFonts w:hint="eastAsia" w:ascii="仿宋_GB2312" w:hAnsi="宋体" w:eastAsia="仿宋_GB2312" w:cs="仿宋_GB2312"/>
          <w:sz w:val="32"/>
          <w:szCs w:val="32"/>
          <w:lang w:eastAsia="zh-CN"/>
        </w:rPr>
        <w:t>、北京市“首都见义勇为好市民”</w:t>
      </w:r>
      <w:r>
        <w:rPr>
          <w:rFonts w:hint="eastAsia" w:ascii="仿宋_GB2312" w:hAnsi="宋体" w:eastAsia="仿宋_GB2312" w:cs="仿宋_GB2312"/>
          <w:sz w:val="32"/>
          <w:szCs w:val="32"/>
        </w:rPr>
        <w:t>。</w:t>
      </w:r>
    </w:p>
    <w:p w14:paraId="694EB1A6">
      <w:pPr>
        <w:spacing w:line="560" w:lineRule="exact"/>
        <w:ind w:firstLine="640" w:firstLineChars="200"/>
        <w:rPr>
          <w:rFonts w:ascii="仿宋_GB2312" w:hAnsi="宋体" w:eastAsia="仿宋_GB2312" w:cs="仿宋_GB2312"/>
          <w:sz w:val="32"/>
          <w:szCs w:val="32"/>
        </w:rPr>
      </w:pPr>
      <w:r>
        <w:rPr>
          <w:rFonts w:hint="eastAsia" w:ascii="楷体_GB2312" w:hAnsi="楷体_GB2312" w:eastAsia="楷体_GB2312" w:cs="楷体_GB2312"/>
          <w:sz w:val="32"/>
          <w:szCs w:val="32"/>
        </w:rPr>
        <w:t>（四）社会组织与慈善事业活力显著增强。</w:t>
      </w:r>
      <w:r>
        <w:rPr>
          <w:rFonts w:hint="eastAsia" w:ascii="仿宋_GB2312" w:hAnsi="宋体" w:eastAsia="仿宋_GB2312" w:cs="仿宋_GB2312"/>
          <w:sz w:val="32"/>
          <w:szCs w:val="32"/>
        </w:rPr>
        <w:t>加强社会组织管理。强化社会组织党建，建立社会组织党建工作与管理工作融合发展机制，拓展优秀党建品牌，做到“应建尽建”“应联尽联”；规范社会组织管理，探索制定《门头沟区社会组织管理工作指引》《门头沟区社会组织高质量发展措施意见》等相关政策；扶持社会组织发展，完善三级社会工作服务体系，“十四五”期末，我区登记注册社会组织达到170家，备案社区社会组织3375家。壮大慈善事业。聚焦困难群体实际需求，围绕助老助学、大病救助等领域，累计接收社会捐赠资金16057.98万元，开展各类慈善项目293个，发放救助金14957.4万元，累计救助困难群众75466人次；“23·7”流域性特大洪水期间，快速搭建“线上+线下”多元捐赠渠道，接收捐款11141.06万元、物资42万余件，全程闭环完成分类清点、定向调配；构建“区-镇街-村居”梯级服务网格，在13个镇街标准化建设42个捐赠站点，推进大峪、城子、东辛房街道社区慈善基金发展，探索“资源链接+社区自治”基层治理模式。稳妥开展行政区划</w:t>
      </w:r>
      <w:r>
        <w:rPr>
          <w:rFonts w:hint="eastAsia" w:ascii="仿宋_GB2312" w:hAnsi="宋体" w:eastAsia="仿宋_GB2312" w:cs="仿宋_GB2312"/>
          <w:sz w:val="32"/>
          <w:szCs w:val="32"/>
          <w:lang w:eastAsia="zh-CN"/>
        </w:rPr>
        <w:t>调整</w:t>
      </w:r>
      <w:r>
        <w:rPr>
          <w:rFonts w:hint="eastAsia" w:ascii="仿宋_GB2312" w:hAnsi="宋体" w:eastAsia="仿宋_GB2312" w:cs="仿宋_GB2312"/>
          <w:sz w:val="32"/>
          <w:szCs w:val="32"/>
        </w:rPr>
        <w:t>，加强行政区域界线管理。</w:t>
      </w:r>
    </w:p>
    <w:p w14:paraId="69AC437D">
      <w:pPr>
        <w:spacing w:line="560" w:lineRule="exact"/>
        <w:ind w:firstLine="640" w:firstLineChars="200"/>
        <w:rPr>
          <w:rFonts w:ascii="仿宋_GB2312" w:hAnsi="宋体" w:eastAsia="仿宋_GB2312" w:cs="仿宋_GB2312"/>
          <w:sz w:val="32"/>
          <w:szCs w:val="32"/>
        </w:rPr>
      </w:pPr>
      <w:r>
        <w:rPr>
          <w:rFonts w:hint="eastAsia" w:ascii="楷体_GB2312" w:hAnsi="楷体_GB2312" w:eastAsia="楷体_GB2312" w:cs="楷体_GB2312"/>
          <w:sz w:val="32"/>
          <w:szCs w:val="32"/>
        </w:rPr>
        <w:t>（五）残疾人事业健康有序发展。</w:t>
      </w:r>
      <w:r>
        <w:rPr>
          <w:rFonts w:hint="eastAsia" w:ascii="仿宋_GB2312" w:hAnsi="仿宋_GB2312" w:eastAsia="仿宋_GB2312" w:cs="仿宋_GB2312"/>
          <w:sz w:val="32"/>
          <w:szCs w:val="32"/>
        </w:rPr>
        <w:t>服务基础持续夯实。五年来，全区累</w:t>
      </w:r>
      <w:r>
        <w:rPr>
          <w:rFonts w:hint="eastAsia" w:ascii="仿宋_GB2312" w:hAnsi="宋体" w:eastAsia="仿宋_GB2312" w:cs="仿宋_GB2312"/>
          <w:sz w:val="32"/>
          <w:szCs w:val="32"/>
        </w:rPr>
        <w:t>计投入各类扶残助残资金约4亿元。以加快残疾人事业高质量发展为主题，以保障残疾人基本民生和促进残疾人全面发展、共同富裕为主线，围绕康复、教育、就业、文体等重点领域，持续深化残联改革和服务创新，健全残疾人帮扶机制和保障残疾人服务体系，不断满足残疾人美好生活需要，更加奋发有为推动残疾人事业健康发展。关爱服务体系更加完善。推进市区重要民生实事项目和折子工程落实落细。至“十四五”末，建成镇街级温馨家园14家、村居级温馨家园28家；依托镇街区域养老服务中心、养老机构，丰富康复辅助器具应用场景，建立租赁服务流程、提升服务质量；完善残疾人职业技能培训体系和创业支持帮扶体系；优化无障碍环境。</w:t>
      </w:r>
    </w:p>
    <w:p w14:paraId="24BC8809">
      <w:pPr>
        <w:spacing w:line="560" w:lineRule="exact"/>
        <w:ind w:firstLine="640" w:firstLineChars="200"/>
      </w:pPr>
      <w:r>
        <w:rPr>
          <w:rFonts w:hint="eastAsia" w:ascii="楷体_GB2312" w:hAnsi="楷体_GB2312" w:eastAsia="楷体_GB2312" w:cs="楷体_GB2312"/>
          <w:sz w:val="32"/>
          <w:szCs w:val="32"/>
        </w:rPr>
        <w:t>（六）红十字事业发展成效显著。</w:t>
      </w:r>
      <w:r>
        <w:rPr>
          <w:rFonts w:hint="eastAsia" w:ascii="仿宋_GB2312" w:hAnsi="宋体" w:eastAsia="仿宋_GB2312" w:cs="仿宋_GB2312"/>
          <w:sz w:val="32"/>
          <w:szCs w:val="32"/>
        </w:rPr>
        <w:t>应急救护培训体系不断完善。“十四五”期间，通过“线上+线下”形式，为区教委、公安、志愿者等单位和人群开展培训取证10278人次。人道救助力度持续加大，累计拨付人道救助款260余万元，惠及470人次，“两节送温暖”发放慰问金296万元，覆盖困难家庭2848户。应急救援能力显著增强。依法指导门红蓝天救援队、百灵应急志愿者开展山地搜救演练40余次，在海河“23·7”流域性特大洪水救援和灾后重建中发挥了关键作用。强化“23.7”项目闭环管理。围绕“23.7”灾后重建项目，抓牢“项目评审、征求意见、请示报告、监督检查、结算评审、审计决算、结项报告”等关键环节，采取现场看、会议听、发函告等方式，有效推进灾后重建项目依法依规实施，加强资金监管。积极推进“三献”工作。深化造血干细胞、人体器官和遗体捐献宣传与志愿服务，全区165名志愿者完成造血干细胞血样采集，4人成功捐献。</w:t>
      </w:r>
    </w:p>
    <w:p w14:paraId="603EE34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二、“十五五”时期是我区民政事业加速发展关键阶段</w:t>
      </w:r>
    </w:p>
    <w:p w14:paraId="7D97F831">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（一）发展机遇</w:t>
      </w:r>
    </w:p>
    <w:p w14:paraId="430DD75B">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全面深化改革为民政事业高质量发展注入强劲动能。</w:t>
      </w:r>
      <w:r>
        <w:rPr>
          <w:rFonts w:hint="eastAsia" w:ascii="仿宋_GB2312" w:hAnsi="仿宋_GB2312" w:eastAsia="仿宋_GB2312" w:cs="仿宋_GB2312"/>
          <w:sz w:val="32"/>
          <w:szCs w:val="32"/>
        </w:rPr>
        <w:t>党的二十届四中全会对进一步全面深化改革作出系统部署，为新时代民政事业高质量发展提供了根本遵循和制度保障。习近平总书记在北京、河北考察灾后恢复重建工作时强调，要再接再厉抓好灾后恢复重建，确保广大人民群众安居乐业。总书记的重要指示为门头沟区民政事业在新起点上推进高质量发展指明了方向。市委作出“两园一河”联动发展重大部署，必将使京西地区成为首都高质量发展新的增长极，为民政事业拓展公共服务空间、优化资源配置格局提供了前所未有的政策机遇。随着区级新一轮机构改革完成，民政工作职责进一步聚焦“一老一小”、社会救助、社会福利、社会事务、社会组织管理及公益慈善等主责主业，体制机制更加顺畅，发展动能显著增强。</w:t>
      </w:r>
    </w:p>
    <w:p w14:paraId="5D115B1C">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区委区政府高位统筹为民政事业提质增效营造了良好环境。</w:t>
      </w:r>
      <w:r>
        <w:rPr>
          <w:rFonts w:hint="eastAsia" w:ascii="仿宋_GB2312" w:hAnsi="仿宋_GB2312" w:eastAsia="仿宋_GB2312" w:cs="仿宋_GB2312"/>
          <w:sz w:val="32"/>
          <w:szCs w:val="32"/>
        </w:rPr>
        <w:t>区委区政府始终将民政事业发展摆在突出位置，纳入全区绿色高质量转型和灾后恢复重建总体布局一体推进。区</w:t>
      </w:r>
      <w:r>
        <w:rPr>
          <w:rFonts w:hint="eastAsia" w:ascii="仿宋_GB2312" w:hAnsi="仿宋_GB2312" w:eastAsia="仿宋_GB2312" w:cs="仿宋_GB2312"/>
          <w:sz w:val="32"/>
          <w:szCs w:val="32"/>
          <w:lang w:eastAsia="zh-CN"/>
        </w:rPr>
        <w:t>四大部门</w:t>
      </w:r>
      <w:r>
        <w:rPr>
          <w:rFonts w:hint="eastAsia" w:ascii="仿宋_GB2312" w:hAnsi="仿宋_GB2312" w:eastAsia="仿宋_GB2312" w:cs="仿宋_GB2312"/>
          <w:sz w:val="32"/>
          <w:szCs w:val="32"/>
        </w:rPr>
        <w:t>多次调研养老服务体系建设、基层治理改革等重点工作，多元融合型养老服务体系建设</w:t>
      </w:r>
      <w:r>
        <w:rPr>
          <w:rFonts w:hint="eastAsia" w:ascii="仿宋_GB2312" w:hAnsi="仿宋_GB2312" w:eastAsia="仿宋_GB2312" w:cs="仿宋_GB2312"/>
          <w:sz w:val="32"/>
          <w:szCs w:val="32"/>
          <w:lang w:eastAsia="zh-CN"/>
        </w:rPr>
        <w:t>中指出</w:t>
      </w:r>
      <w:r>
        <w:rPr>
          <w:rFonts w:hint="eastAsia" w:ascii="仿宋_GB2312" w:hAnsi="仿宋_GB2312" w:eastAsia="仿宋_GB2312" w:cs="仿宋_GB2312"/>
          <w:sz w:val="32"/>
          <w:szCs w:val="32"/>
        </w:rPr>
        <w:t>，要聚焦群众急难愁盼问题，有序推进养老服务体系改革，构建多层次民生保障格局。当前，灾后恢复重建从“三年全面提升”到“长远高质量发展”转段，民政系统在困难救助、心理援助和灾后安置中发挥</w:t>
      </w:r>
      <w:r>
        <w:rPr>
          <w:rFonts w:hint="eastAsia" w:ascii="仿宋_GB2312" w:hAnsi="仿宋_GB2312" w:eastAsia="仿宋_GB2312" w:cs="仿宋_GB2312"/>
          <w:sz w:val="32"/>
          <w:szCs w:val="32"/>
          <w:lang w:eastAsia="zh-CN"/>
        </w:rPr>
        <w:t>出了</w:t>
      </w:r>
      <w:r>
        <w:rPr>
          <w:rFonts w:hint="eastAsia" w:ascii="仿宋_GB2312" w:hAnsi="仿宋_GB2312" w:eastAsia="仿宋_GB2312" w:cs="仿宋_GB2312"/>
          <w:sz w:val="32"/>
          <w:szCs w:val="32"/>
        </w:rPr>
        <w:t>中坚作用。随着城市更新行动深入推进、“诗画乡村”建设全面展开，民政公共服务设施改造升级迎来政策利好，为“十五五”时期民政事业的整体提质提供了坚实保障。</w:t>
      </w:r>
    </w:p>
    <w:p w14:paraId="037B1E08">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数字化和科技赋能为民政服务创新提供了新路径。</w:t>
      </w:r>
      <w:r>
        <w:rPr>
          <w:rFonts w:hint="eastAsia" w:ascii="仿宋_GB2312" w:hAnsi="仿宋_GB2312" w:eastAsia="仿宋_GB2312" w:cs="仿宋_GB2312"/>
          <w:sz w:val="32"/>
          <w:szCs w:val="32"/>
        </w:rPr>
        <w:t>门头沟区全面落实“科技强区”战略，积极融入北京全球数字经济标杆城市建设，人工智能、大数据、物联网等技术在民政领域加速落地应用，智慧民政数据平台、社会救助动态监测系统等陆续建成。通过数字化手段实现救助对象精准识别、养老照护智能响应、社会组织信用监管动态更新，民政管理效率显著提升。结合山区地理特征，区民政局积极探索“互联网+养老”“数据+服务”新模式，推动民政服务从“人找政策”向“政策惠人”转变，为山区群众提供更加便捷、精准、高效的民政服务。下一步，要推动“AI+民政”“云端政务”等应用场景拓展，推动民政事业数字化转型走深走实。</w:t>
      </w:r>
    </w:p>
    <w:p w14:paraId="5A727F13">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“京西福地门头沟”品牌建设与社会多元参与激发了事业内生动力。</w:t>
      </w:r>
      <w:r>
        <w:rPr>
          <w:rFonts w:hint="eastAsia" w:ascii="仿宋_GB2312" w:hAnsi="仿宋_GB2312" w:eastAsia="仿宋_GB2312" w:cs="仿宋_GB2312"/>
          <w:sz w:val="32"/>
          <w:szCs w:val="32"/>
        </w:rPr>
        <w:t>近年来，门头沟区深入挖掘“京西福地”的文化底蕴，坚定不移践行“生态立区、文化兴区、科技强区”战略，持续推进绿色高质量转型发展。社会组织、慈善力量、志愿团队广泛参与养老照护、助残助困、乡村振兴等工作，在全区形成共建共治共享的社会参与格局。立足生态涵养区功能定位和“诗画乡村”建设，积极探索“民政+生态+文旅”融合路径，发展“康养旅居”“社区嵌入式养老”等新模式，让民政事业在满足群众多样化需求中彰显文化引领与幸福导向，为首都西大门建设注入人文温度与民生情怀。</w:t>
      </w:r>
    </w:p>
    <w:p w14:paraId="7B969A55">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（二）面临挑战</w:t>
      </w:r>
    </w:p>
    <w:p w14:paraId="30D5DCEF">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社会结构变化加速，民政全生命服务周期体系面临深层转型压力。</w:t>
      </w:r>
      <w:r>
        <w:rPr>
          <w:rFonts w:hint="eastAsia" w:ascii="仿宋_GB2312" w:hAnsi="仿宋_GB2312" w:eastAsia="仿宋_GB2312" w:cs="仿宋_GB2312"/>
          <w:sz w:val="32"/>
          <w:szCs w:val="32"/>
        </w:rPr>
        <w:t>门头沟区已进入深度老龄化阶段，2024年底，60岁及以上老年人口</w:t>
      </w:r>
      <w:r>
        <w:rPr>
          <w:rFonts w:hint="eastAsia" w:ascii="仿宋_GB2312" w:hAnsi="仿宋_GB2312" w:eastAsia="仿宋_GB2312" w:cs="仿宋_GB2312"/>
          <w:sz w:val="32"/>
          <w:szCs w:val="32"/>
          <w:lang w:eastAsia="zh-CN"/>
        </w:rPr>
        <w:t>已经达到</w:t>
      </w:r>
      <w:r>
        <w:rPr>
          <w:rFonts w:hint="eastAsia" w:ascii="仿宋_GB2312" w:hAnsi="仿宋_GB2312" w:eastAsia="仿宋_GB2312" w:cs="仿宋_GB2312"/>
          <w:sz w:val="32"/>
          <w:szCs w:val="32"/>
        </w:rPr>
        <w:t>12.1万人，占常住人口的30.56%，高于全市平均水平。老龄化、少子化、家庭小型化趋势叠加，赡养负担持续加重，传统家庭照护功能明显弱化，失能、半失能老年人数量快速增长。山区地形复杂、居住分散、青年外流，进一步削弱了社区支持能力和邻里互助基础。老年人居家养老、社区康养、情感慰藉等需求显著上升，而儿童福利、困境儿童关爱保护需求也呈多样化趋势。人口变动特征和人户分离现象加剧，对养老、救助、儿童服务等公共资源配置的精准性提出更高要求，推动民政服务体系必须从“补缺式保障”向“全生命周期服务”加速转型，以更好适应首都人口高质量发展要求。</w:t>
      </w:r>
    </w:p>
    <w:p w14:paraId="6059DD6A">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新质生产力加速崛起，民政领域加快现代化转型缺乏提质增效路径</w:t>
      </w:r>
      <w:r>
        <w:rPr>
          <w:rFonts w:hint="eastAsia" w:ascii="仿宋_GB2312" w:hAnsi="仿宋_GB2312" w:eastAsia="仿宋_GB2312" w:cs="仿宋_GB2312"/>
          <w:sz w:val="32"/>
          <w:szCs w:val="32"/>
        </w:rPr>
        <w:t>。“十五五”时期，我国经济发展进入高质量发展阶段，科技创新成为核心驱动力。北京正加快建设全球数字经济标杆城市，人工智能、机器人、大数据等技术快速迭代，但民政领域科技成果转化不足、应用场景落地较慢</w:t>
      </w:r>
      <w:r>
        <w:rPr>
          <w:rFonts w:hint="eastAsia" w:ascii="仿宋_GB2312" w:hAnsi="仿宋_GB2312" w:eastAsia="仿宋_GB2312" w:cs="仿宋_GB2312"/>
          <w:sz w:val="32"/>
          <w:szCs w:val="32"/>
          <w:lang w:eastAsia="zh-CN"/>
        </w:rPr>
        <w:t>的问题依然突出</w:t>
      </w:r>
      <w:r>
        <w:rPr>
          <w:rFonts w:hint="eastAsia" w:ascii="仿宋_GB2312" w:hAnsi="仿宋_GB2312" w:eastAsia="仿宋_GB2312" w:cs="仿宋_GB2312"/>
          <w:sz w:val="32"/>
          <w:szCs w:val="32"/>
        </w:rPr>
        <w:t>。门头沟区虽处于首都功能拓展与绿色高质量转型的关键期，但民政事业现代化支撑体系仍相对薄弱，服务体系碎片化、信息孤岛、数据共享不畅等问题仍存。基层公共服务设施总量偏少，城乡间养老、救助、福利供给差距明显。民政预算项目“小而散”，资金使用效能需进一步提升。社会力量参与深度和专业化水平不足，民政产业链条短、市场化支撑弱。要在财政资源趋紧和公共支出精细化背景下，需要提升民政事业集约化、精准化管理能力，实现从“分散供给”向“高效协同”的治理转型。</w:t>
      </w:r>
    </w:p>
    <w:p w14:paraId="3907DB05">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群众多层次需求持续升级，公共服务体系结构性短板亟待补齐。</w:t>
      </w:r>
      <w:r>
        <w:rPr>
          <w:rFonts w:hint="eastAsia" w:ascii="仿宋_GB2312" w:hAnsi="仿宋_GB2312" w:eastAsia="仿宋_GB2312" w:cs="仿宋_GB2312"/>
          <w:sz w:val="32"/>
          <w:szCs w:val="32"/>
        </w:rPr>
        <w:t>随着居民生活水平提升，群众对高品质、普惠化、智能化的民政服务需求更加多元。当前民政供给仍偏重基础兜底和物质帮扶，精神慰藉、社区融入、康复支持、临终关怀等新型服务供给不足。养老服务领域存在结构性矛盾，高端与兜底供给并存、普惠供给偏弱；农村及山区养老服务体系发展滞后，服务半径大、可及性低。社会救助仍以资金支持为主，个案化、服务化、精准化帮扶机制尚未全面建立。婚姻登记、殡葬服务、慈善管理、志愿服务等业务信息化水平不均，线上线下融合服务能力不足。群众对民政服务的期望从“有没有”转向“好不好”“优不优”，政策落实“最后一公里”问题依然突出，民政服务体系的整体效能和群众满意度有待进一步提升。</w:t>
      </w:r>
    </w:p>
    <w:p w14:paraId="13A3C6DC">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统筹发展和安全双重标准持续提升，民政领域风险防控面临挑战。</w:t>
      </w:r>
      <w:r>
        <w:rPr>
          <w:rFonts w:hint="eastAsia" w:ascii="仿宋_GB2312" w:hAnsi="仿宋_GB2312" w:eastAsia="仿宋_GB2312" w:cs="仿宋_GB2312"/>
          <w:sz w:val="32"/>
          <w:szCs w:val="32"/>
        </w:rPr>
        <w:t>首都高质量发展离不开高水平安全，民政安全是首都安全的重要组成部分。门头沟区地处生态涵养区、地质灾害高风险区，民政设施安全隐患、防灾减灾压力长期存在。部分养老、救助、福利机构设施老</w:t>
      </w:r>
      <w:r>
        <w:rPr>
          <w:rFonts w:hint="eastAsia" w:ascii="仿宋_GB2312" w:hAnsi="仿宋_GB2312" w:eastAsia="仿宋_GB2312" w:cs="仿宋_GB2312"/>
          <w:sz w:val="32"/>
          <w:szCs w:val="32"/>
          <w:lang w:eastAsia="zh-CN"/>
        </w:rPr>
        <w:t>化</w:t>
      </w:r>
      <w:r>
        <w:rPr>
          <w:rFonts w:hint="eastAsia" w:ascii="仿宋_GB2312" w:hAnsi="仿宋_GB2312" w:eastAsia="仿宋_GB2312" w:cs="仿宋_GB2312"/>
          <w:sz w:val="32"/>
          <w:szCs w:val="32"/>
        </w:rPr>
        <w:t>，消防、用电、防汛等安全风险隐患依然突出。极端天气频发，基层防范能力亟待强化。随着社会救助、养老、民生资金体量增长，项目监管、资金安全、信息公开透明度面临更高要求。民政服务对象多为老幼孤残等弱势群体，舆情敏感度高、社会关注度强，在互联网环境下“微事件易激化”，民政部门必须提升风险预警、应急响应与舆情处置能力，实现高质量发展和高水平安全的良性互动。</w:t>
      </w:r>
    </w:p>
    <w:p w14:paraId="35C9AEF6">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基层力量与专业支撑体系仍显薄弱，服务能力提示瓶颈凸显。</w:t>
      </w:r>
      <w:r>
        <w:rPr>
          <w:rFonts w:hint="eastAsia" w:ascii="仿宋_GB2312" w:hAnsi="仿宋_GB2312" w:eastAsia="仿宋_GB2312" w:cs="仿宋_GB2312"/>
          <w:sz w:val="32"/>
          <w:szCs w:val="32"/>
        </w:rPr>
        <w:t>民政系统点多、线长、面广，任务繁重，专业化支撑能力不足问题突出。门头沟区民政干部“多岗兼任、一人多职”现象普遍，基层人员结构老化，专业培训和职业发展通道不畅。养老护理员、社会工作者、心理辅导师、儿童督导员、儿童主任等专业人才能力和供给不足，职业吸引力不强。部分民政服务机构管理能力薄弱，标准化、规范化水平有待提升。随着灾后重建、社会治理、老龄化应对等任务叠加，基层民政队伍面临“能干事、干好事”的双重压力。要通过政策引导、体系建设和机制创新，完善民政人才培养体系，建立稳定、专业、高效的民政服务队伍，为民政事业高质量发展提供坚实人才支撑。</w:t>
      </w:r>
    </w:p>
    <w:p w14:paraId="7C6B271D">
      <w:pPr>
        <w:spacing w:line="560" w:lineRule="exact"/>
        <w:jc w:val="center"/>
        <w:rPr>
          <w:rFonts w:ascii="黑体" w:hAnsi="黑体" w:eastAsia="黑体" w:cs="黑体"/>
          <w:sz w:val="36"/>
          <w:szCs w:val="36"/>
        </w:rPr>
      </w:pPr>
    </w:p>
    <w:p w14:paraId="7AA1C202">
      <w:pPr>
        <w:spacing w:line="560" w:lineRule="exact"/>
        <w:jc w:val="center"/>
        <w:rPr>
          <w:rFonts w:ascii="黑体" w:hAnsi="黑体" w:eastAsia="黑体" w:cs="黑体"/>
          <w:sz w:val="36"/>
          <w:szCs w:val="36"/>
        </w:rPr>
      </w:pPr>
    </w:p>
    <w:p w14:paraId="0087F1A7">
      <w:pPr>
        <w:spacing w:line="560" w:lineRule="exact"/>
        <w:jc w:val="center"/>
        <w:rPr>
          <w:rFonts w:ascii="黑体" w:hAnsi="黑体" w:eastAsia="黑体" w:cs="黑体"/>
          <w:sz w:val="36"/>
          <w:szCs w:val="36"/>
        </w:rPr>
      </w:pPr>
      <w:r>
        <w:rPr>
          <w:rFonts w:hint="eastAsia" w:ascii="黑体" w:hAnsi="黑体" w:eastAsia="黑体" w:cs="黑体"/>
          <w:sz w:val="36"/>
          <w:szCs w:val="36"/>
        </w:rPr>
        <w:t>第二部分  指导方针、基本原则和总体目标</w:t>
      </w:r>
    </w:p>
    <w:p w14:paraId="4B4ABE0F">
      <w:pPr>
        <w:spacing w:line="560" w:lineRule="exact"/>
        <w:ind w:firstLine="640" w:firstLineChars="200"/>
        <w:rPr>
          <w:rFonts w:ascii="黑体" w:hAnsi="黑体" w:eastAsia="黑体" w:cs="黑体"/>
          <w:sz w:val="32"/>
          <w:szCs w:val="32"/>
        </w:rPr>
      </w:pPr>
    </w:p>
    <w:p w14:paraId="44CEA330">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一、指导方针</w:t>
      </w:r>
    </w:p>
    <w:p w14:paraId="46014A1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全面贯彻党的二十大和二十届历次全会精神，深入学习贯彻习近平总书记关于民政工作的重要论述和考察北京重要讲话精神，全面落实党中央、国务院决策部署及市委、市政府、区委、区政府工作要求，牢牢把握“看北京首先要从政治上看”的根本要求，坚持以人民为中心的发展思想，深入践行民政工作“保基本、兜底线、暖民心、防风险、促发展”的职责使命。以推动民政事业高质量发展为主题，始终坚持人民至上，尽力而为、量力而行，在服务首都功能拓展、生态文明建设和区域绿色高质量转型中展现民政担当，为高水平建设首都西大门、扎实推进共同富裕提供坚实民生保障，奋力开创“京西幸福民政”建设新局面。</w:t>
      </w:r>
    </w:p>
    <w:p w14:paraId="1BEFB9C6">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二、基本原则</w:t>
      </w:r>
    </w:p>
    <w:p w14:paraId="42B52063">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——坚持党的全面领导，牢牢把握民政事业发展的政治方向。</w:t>
      </w:r>
      <w:r>
        <w:rPr>
          <w:rFonts w:hint="eastAsia" w:ascii="仿宋_GB2312" w:hAnsi="仿宋_GB2312" w:eastAsia="仿宋_GB2312" w:cs="仿宋_GB2312"/>
          <w:sz w:val="32"/>
          <w:szCs w:val="32"/>
        </w:rPr>
        <w:t>始终将党的领导贯穿民政事业高质量发展全过程各领域，牢记“看北京首先要从政治上看”，不断强化政治机关意识和首都民政工作的政治担当，确保民政事业始终沿着正确政治方向稳步前行。</w:t>
      </w:r>
    </w:p>
    <w:p w14:paraId="67BCFDC0">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——坚持以人民为中心，坚持在加速发展中保障和改善民生。</w:t>
      </w:r>
      <w:r>
        <w:rPr>
          <w:rFonts w:hint="eastAsia" w:ascii="仿宋_GB2312" w:hAnsi="仿宋_GB2312" w:eastAsia="仿宋_GB2312" w:cs="仿宋_GB2312"/>
          <w:sz w:val="32"/>
          <w:szCs w:val="32"/>
        </w:rPr>
        <w:t>紧紧围绕“保基本、兜底线、暖民心、防风险”的总体要求，以满足人民美好生活需要为目标，促进制度集成与精准施策相结合。聚焦群众“急难愁盼”问题，</w:t>
      </w:r>
      <w:r>
        <w:rPr>
          <w:rFonts w:hint="eastAsia" w:ascii="仿宋_GB2312" w:hAnsi="仿宋_GB2312" w:eastAsia="仿宋_GB2312" w:cs="仿宋_GB2312"/>
          <w:sz w:val="32"/>
          <w:szCs w:val="32"/>
          <w:lang w:eastAsia="zh-CN"/>
        </w:rPr>
        <w:t>提升</w:t>
      </w:r>
      <w:r>
        <w:rPr>
          <w:rFonts w:hint="eastAsia" w:ascii="仿宋_GB2312" w:hAnsi="仿宋_GB2312" w:eastAsia="仿宋_GB2312" w:cs="仿宋_GB2312"/>
          <w:sz w:val="32"/>
          <w:szCs w:val="32"/>
        </w:rPr>
        <w:t>基本民生保障</w:t>
      </w:r>
      <w:r>
        <w:rPr>
          <w:rFonts w:hint="eastAsia" w:ascii="仿宋_GB2312" w:hAnsi="仿宋_GB2312" w:eastAsia="仿宋_GB2312" w:cs="仿宋_GB2312"/>
          <w:sz w:val="32"/>
          <w:szCs w:val="32"/>
          <w:lang w:eastAsia="zh-CN"/>
        </w:rPr>
        <w:t>能力</w:t>
      </w:r>
      <w:r>
        <w:rPr>
          <w:rFonts w:hint="eastAsia" w:ascii="仿宋_GB2312" w:hAnsi="仿宋_GB2312" w:eastAsia="仿宋_GB2312" w:cs="仿宋_GB2312"/>
          <w:sz w:val="32"/>
          <w:szCs w:val="32"/>
        </w:rPr>
        <w:t>，提升养老服务、社会救助、儿童福利、残疾人关爱等服务能力，不断增强群众获得感、幸福感、安全感。</w:t>
      </w:r>
    </w:p>
    <w:p w14:paraId="0138693C">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——坚持统筹兼顾、多元协同，构建系统完备的民政服务格局。</w:t>
      </w:r>
      <w:r>
        <w:rPr>
          <w:rFonts w:hint="eastAsia" w:ascii="仿宋_GB2312" w:hAnsi="仿宋_GB2312" w:eastAsia="仿宋_GB2312" w:cs="仿宋_GB2312"/>
          <w:sz w:val="32"/>
          <w:szCs w:val="32"/>
        </w:rPr>
        <w:t>强化系统观念，推动民政事业各板块协同发展，形成政府引领、社会协同、公众参与的共建共治共享新格局。完善政策制度、服务保障、监督管理和社会参与体系，统筹推进养老、救助、福利、社会事务等重点领域，提升民政工作整体效能。</w:t>
      </w:r>
    </w:p>
    <w:p w14:paraId="495FEA56">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——坚持强化基层、夯实基础，提升基层民政治理能力。</w:t>
      </w:r>
      <w:r>
        <w:rPr>
          <w:rFonts w:hint="eastAsia" w:ascii="仿宋_GB2312" w:hAnsi="仿宋_GB2312" w:eastAsia="仿宋_GB2312" w:cs="仿宋_GB2312"/>
          <w:sz w:val="32"/>
          <w:szCs w:val="32"/>
        </w:rPr>
        <w:t>牢牢把握门头沟区作为首都生态涵养区的功能定位，推动民政服务重心下移、资源下沉、力量下沉。强化慈善、社会组织和区划管理支撑，加快构建镇街统筹、村居协同、群众自治的基层治理体系，完善基层公共服务设施和能力建设，打通服务群众“最后一米”，实现民政服务精准高效。</w:t>
      </w:r>
    </w:p>
    <w:p w14:paraId="0C166CA6">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——坚持立足区情，以改革促发展、以科技强服务、以法治固根基、以共治聚合力。</w:t>
      </w:r>
      <w:r>
        <w:rPr>
          <w:rFonts w:hint="eastAsia" w:ascii="仿宋_GB2312" w:hAnsi="仿宋_GB2312" w:eastAsia="仿宋_GB2312" w:cs="仿宋_GB2312"/>
          <w:sz w:val="32"/>
          <w:szCs w:val="32"/>
        </w:rPr>
        <w:t>以全面深化改革为动力，强化系统思维和底线思维，统筹推进制度建设、法治保障与社会参与协同，持续完善民政事业体系化、规范化、智能化建设。立足山区区情，激发创新活力，推动人工智能、大数据、云计算等技术在养老、救助、社会治理等领域的融合应用，探索形成具有生态涵养区特色的民政现代化发展模式。</w:t>
      </w:r>
    </w:p>
    <w:p w14:paraId="18BA47A2">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——坚持统筹发展与安全，在发展中固安全，在安全中谋发展。</w:t>
      </w:r>
      <w:r>
        <w:rPr>
          <w:rFonts w:hint="eastAsia" w:ascii="仿宋_GB2312" w:hAnsi="仿宋_GB2312" w:eastAsia="仿宋_GB2312" w:cs="仿宋_GB2312"/>
          <w:sz w:val="32"/>
          <w:szCs w:val="32"/>
        </w:rPr>
        <w:t>深入贯彻党的二十大提出的“提高公共安全治理水平，完善社会治理体系”重要指示精神，将底线思维、极限思维融入民政领域各环节。坚持人民至上、生命至上，把防范化解风险作为民政治理的“生命线”，最大限度防范化解风险，增强社会韧性，以民政领域新安全格局保障首都新发展格局。</w:t>
      </w:r>
    </w:p>
    <w:p w14:paraId="51E194DB">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三、发展目标</w:t>
      </w:r>
    </w:p>
    <w:p w14:paraId="40FFD4F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到2030年，门头沟区民政事业党的建设全面加强，政策制度体系更加完善，服务保障体系更加优化，监督管理体系更加健全，社会参与体系更加活跃</w:t>
      </w:r>
      <w:r>
        <w:rPr>
          <w:rFonts w:hint="eastAsia" w:ascii="仿宋_GB2312" w:hAnsi="仿宋_GB2312" w:eastAsia="仿宋_GB2312" w:cs="仿宋_GB2312"/>
          <w:sz w:val="32"/>
          <w:szCs w:val="32"/>
          <w:lang w:eastAsia="zh-CN"/>
        </w:rPr>
        <w:t>总体发展水平显著提升</w:t>
      </w:r>
      <w:r>
        <w:rPr>
          <w:rFonts w:hint="eastAsia" w:ascii="仿宋_GB2312" w:hAnsi="仿宋_GB2312" w:eastAsia="仿宋_GB2312" w:cs="仿宋_GB2312"/>
          <w:sz w:val="32"/>
          <w:szCs w:val="32"/>
        </w:rPr>
        <w:t>。民政事业发展实现从“基础保障”向“高品质供给”、从“被动响应”向“主动服务”、从“单一职能”向“协同融合”的战略跃升，成为支撑首都西部绿色高质量发展的重要力量。民政公共服务体系更加成熟完备，覆盖城乡、衔接多层、普惠共享的格局基本形成。民政治理体系和治理能力现代化水平显著提升，“智慧民政”建设取得突破，社会组织活力充分释放，慈善事业与基层治理深度融合。人民群众在民政服务领域的获得感、幸福感、安全感持续增强，门头沟区基本建成“城乡均衡、保障有力、治理高效、民风和谐”的幸福民政先行区。</w:t>
      </w:r>
    </w:p>
    <w:p w14:paraId="338EDE76">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——养老事业和养老产业协同发展机制更加健全。</w:t>
      </w:r>
      <w:r>
        <w:rPr>
          <w:rFonts w:hint="eastAsia" w:ascii="仿宋_GB2312" w:hAnsi="仿宋_GB2312" w:eastAsia="仿宋_GB2312" w:cs="仿宋_GB2312"/>
          <w:sz w:val="32"/>
          <w:szCs w:val="32"/>
        </w:rPr>
        <w:t>到2030年，基本建成以居家为基础、社区为依托、机构为补充、医养康养相结合的多层次养老服务体系。</w:t>
      </w:r>
      <w:r>
        <w:rPr>
          <w:rFonts w:hint="eastAsia" w:ascii="仿宋_GB2312" w:hAnsi="仿宋_GB2312" w:eastAsia="仿宋_GB2312" w:cs="仿宋_GB2312"/>
          <w:color w:val="auto"/>
          <w:sz w:val="32"/>
          <w:szCs w:val="32"/>
          <w:highlight w:val="none"/>
          <w:lang w:val="en-US" w:eastAsia="zh-CN"/>
        </w:rPr>
        <w:t>完善以区级指导中心为统筹、街镇区域养老服务中心为枢纽、社区养老服务驿站为延伸的三级养老服务网络</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highlight w:val="none"/>
          <w:lang w:val="en-US" w:eastAsia="zh-CN"/>
        </w:rPr>
        <w:t>切实发挥区级养老服务指导中心行业指导、信息统筹、资源协调、服务示范等综合功能。</w:t>
      </w:r>
      <w:r>
        <w:rPr>
          <w:rFonts w:hint="eastAsia" w:ascii="仿宋_GB2312" w:hAnsi="仿宋_GB2312" w:eastAsia="仿宋_GB2312" w:cs="仿宋_GB2312"/>
          <w:sz w:val="32"/>
          <w:szCs w:val="32"/>
        </w:rPr>
        <w:t>老年助餐、家庭照护床位、适老化改造等服务全面推广，“嵌入式”“微型化”社区养老模式创新发展，智慧养老、适老化改造、康养融合服务深入推进，养老服务质量、专业化水平和老年人生活品质明显提升。</w:t>
      </w:r>
    </w:p>
    <w:p w14:paraId="063F388A">
      <w:pPr>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——困难群体救助与社会福利体系更加完善。</w:t>
      </w:r>
      <w:r>
        <w:rPr>
          <w:rFonts w:hint="eastAsia" w:ascii="仿宋_GB2312" w:hAnsi="仿宋_GB2312" w:eastAsia="仿宋_GB2312" w:cs="仿宋_GB2312"/>
          <w:sz w:val="32"/>
          <w:szCs w:val="32"/>
          <w:lang w:eastAsia="zh-CN"/>
        </w:rPr>
        <w:t>建成</w:t>
      </w:r>
      <w:r>
        <w:rPr>
          <w:rFonts w:hint="eastAsia" w:ascii="仿宋_GB2312" w:hAnsi="仿宋_GB2312" w:eastAsia="仿宋_GB2312" w:cs="仿宋_GB2312"/>
          <w:sz w:val="32"/>
          <w:szCs w:val="32"/>
        </w:rPr>
        <w:t>以基本生活救助为核心、专项救助为支撑，社会力量广泛参与的分层分类综合救助体系。城乡低保、特困供养、临时救助衔接</w:t>
      </w:r>
      <w:r>
        <w:rPr>
          <w:rFonts w:hint="eastAsia" w:ascii="仿宋_GB2312" w:hAnsi="仿宋_GB2312" w:eastAsia="仿宋_GB2312" w:cs="仿宋_GB2312"/>
          <w:sz w:val="32"/>
          <w:szCs w:val="32"/>
          <w:lang w:eastAsia="zh-CN"/>
        </w:rPr>
        <w:t>更加</w:t>
      </w:r>
      <w:r>
        <w:rPr>
          <w:rFonts w:hint="eastAsia" w:ascii="仿宋_GB2312" w:hAnsi="仿宋_GB2312" w:eastAsia="仿宋_GB2312" w:cs="仿宋_GB2312"/>
          <w:sz w:val="32"/>
          <w:szCs w:val="32"/>
        </w:rPr>
        <w:t>顺畅，实现“应保尽保、应救尽救”。低收入人口动态监测、急难型救助、主动发现等机制高效运行，救助服务实现由“资金扶持”向“物质+服务+赋能”综合帮扶转变，困境儿童、残疾人、低收入家庭等群体福利政策进一步完善，形成救助、帮扶、康复、照护“四位一体”综合支持体系，社会福利事业全面发展，救助保障水平稳步提升。</w:t>
      </w:r>
    </w:p>
    <w:p w14:paraId="4B725ED3">
      <w:pPr>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——社会组织在社会治理工作中作用日益凸显。</w:t>
      </w:r>
      <w:r>
        <w:rPr>
          <w:rFonts w:hint="eastAsia" w:ascii="仿宋_GB2312" w:hAnsi="仿宋_GB2312" w:eastAsia="仿宋_GB2312" w:cs="仿宋_GB2312"/>
          <w:sz w:val="32"/>
          <w:szCs w:val="32"/>
        </w:rPr>
        <w:t>形成政治引领坚强、功能结构合理、治理规范有序、服务能力突出的社会组织发展格局。专业型社会组织作用进一步凸显，党建引领和信用监管机制更加完善，行业自律和社会监督水平持续提高。社会组织在养老助残、社区治理、应急救援等重点领域的服务能力显著增强。</w:t>
      </w:r>
    </w:p>
    <w:p w14:paraId="3E70D655">
      <w:pPr>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——公共服务与专项社会事务管理更加高效便民。</w:t>
      </w:r>
      <w:r>
        <w:rPr>
          <w:rFonts w:hint="eastAsia" w:ascii="仿宋_GB2312" w:hAnsi="仿宋_GB2312" w:eastAsia="仿宋_GB2312" w:cs="仿宋_GB2312"/>
          <w:sz w:val="32"/>
          <w:szCs w:val="32"/>
        </w:rPr>
        <w:t>婚姻登记、殡葬服务等社会事务服务体系更加完备，服务便利度显著提升。基本建成高标准婚姻登记服务场所，结婚颁证、婚姻辅导与家庭教育服务普遍开展。殡葬服务公益属性显著增强，生态安葬率持续提高。深化“互联网+民政服务”，推动登记、审批、支付、信息公开等事项全程网办，实现“一网通办、一号响应、一窗受理”，社会事务办理更加规范、透明、高效。群众急难愁盼问题得到及时回应，公共服务满意度持续提升。</w:t>
      </w:r>
    </w:p>
    <w:p w14:paraId="7111E51F">
      <w:pPr>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——法治建设与安全保障体系更加坚实。</w:t>
      </w:r>
      <w:r>
        <w:rPr>
          <w:rFonts w:hint="eastAsia" w:ascii="仿宋_GB2312" w:hAnsi="仿宋_GB2312" w:eastAsia="仿宋_GB2312" w:cs="仿宋_GB2312"/>
          <w:sz w:val="32"/>
          <w:szCs w:val="32"/>
        </w:rPr>
        <w:t>法治民政体系建设全面推进，民政重点领域法规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规章</w:t>
      </w:r>
      <w:r>
        <w:rPr>
          <w:rFonts w:hint="eastAsia" w:ascii="仿宋_GB2312" w:hAnsi="仿宋_GB2312" w:eastAsia="仿宋_GB2312" w:cs="仿宋_GB2312"/>
          <w:sz w:val="32"/>
          <w:szCs w:val="32"/>
          <w:lang w:eastAsia="zh-CN"/>
        </w:rPr>
        <w:t>和制度</w:t>
      </w:r>
      <w:r>
        <w:rPr>
          <w:rFonts w:hint="eastAsia" w:ascii="仿宋_GB2312" w:hAnsi="仿宋_GB2312" w:eastAsia="仿宋_GB2312" w:cs="仿宋_GB2312"/>
          <w:sz w:val="32"/>
          <w:szCs w:val="32"/>
        </w:rPr>
        <w:t>体系基本健全。依法履职和行政执法规范化、标准化水平全面提升，重大行政决策合法性审查机制高效运行。安全生产责任制落实到位。风险防控、舆情应对、应急处置等机制健全完善，实现安全防范关口前移、预警精准、决策科学。资金使用监管和绩效评估机制全面加强，确保民政事业安全稳健运行，形成高水平安全与高质量发展的良性互动格局。</w:t>
      </w:r>
    </w:p>
    <w:p w14:paraId="70168F2A">
      <w:pPr>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——“数字民政”建设取得新突破。</w:t>
      </w:r>
      <w:r>
        <w:rPr>
          <w:rFonts w:hint="eastAsia" w:ascii="仿宋_GB2312" w:hAnsi="仿宋_GB2312" w:eastAsia="仿宋_GB2312" w:cs="仿宋_GB2312"/>
          <w:sz w:val="32"/>
          <w:szCs w:val="32"/>
        </w:rPr>
        <w:t>探索建立“数据驱动、智能协同、场景赋能”的智慧民政运行体系。加强与中关村门头沟园的合作，拓展“人工智能+”</w:t>
      </w:r>
      <w:r>
        <w:rPr>
          <w:rFonts w:hint="eastAsia" w:ascii="仿宋_GB2312" w:hAnsi="仿宋_GB2312" w:eastAsia="仿宋_GB2312" w:cs="仿宋_GB2312"/>
          <w:sz w:val="32"/>
          <w:szCs w:val="32"/>
          <w:lang w:eastAsia="zh-CN"/>
        </w:rPr>
        <w:t>智慧养老、</w:t>
      </w:r>
      <w:r>
        <w:rPr>
          <w:rFonts w:hint="eastAsia" w:ascii="仿宋_GB2312" w:hAnsi="仿宋_GB2312" w:eastAsia="仿宋_GB2312" w:cs="仿宋_GB2312"/>
          <w:sz w:val="32"/>
          <w:szCs w:val="32"/>
        </w:rPr>
        <w:t>精准救助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殡葬服务等场景的功能与服务范围，不断创新服务模式，进一步提升民政服务的智能化、精准化水平，探索门头沟区数字民政新范式。</w:t>
      </w:r>
    </w:p>
    <w:p w14:paraId="3A4F743B">
      <w:pPr>
        <w:spacing w:line="560" w:lineRule="exact"/>
        <w:jc w:val="center"/>
        <w:rPr>
          <w:rFonts w:ascii="黑体" w:hAnsi="黑体" w:eastAsia="黑体" w:cs="黑体"/>
          <w:w w:val="90"/>
          <w:sz w:val="36"/>
          <w:szCs w:val="36"/>
        </w:rPr>
      </w:pPr>
    </w:p>
    <w:p w14:paraId="1A7C44C8">
      <w:pPr>
        <w:spacing w:line="560" w:lineRule="exact"/>
        <w:jc w:val="center"/>
        <w:rPr>
          <w:rFonts w:ascii="黑体" w:hAnsi="黑体" w:eastAsia="黑体" w:cs="黑体"/>
          <w:w w:val="90"/>
          <w:sz w:val="36"/>
          <w:szCs w:val="36"/>
        </w:rPr>
      </w:pPr>
    </w:p>
    <w:p w14:paraId="0AA36C3F">
      <w:pPr>
        <w:spacing w:line="560" w:lineRule="exact"/>
        <w:jc w:val="center"/>
        <w:rPr>
          <w:rFonts w:ascii="黑体" w:hAnsi="黑体" w:eastAsia="黑体" w:cs="黑体"/>
          <w:sz w:val="36"/>
          <w:szCs w:val="36"/>
        </w:rPr>
      </w:pPr>
      <w:r>
        <w:rPr>
          <w:rFonts w:hint="eastAsia" w:ascii="黑体" w:hAnsi="黑体" w:eastAsia="黑体" w:cs="黑体"/>
          <w:sz w:val="36"/>
          <w:szCs w:val="36"/>
        </w:rPr>
        <w:t>第三部分 建设城乡统筹的高质量老龄养老服务工作体系</w:t>
      </w:r>
    </w:p>
    <w:p w14:paraId="6B6E52D9">
      <w:pPr>
        <w:spacing w:line="560" w:lineRule="exact"/>
        <w:jc w:val="center"/>
        <w:rPr>
          <w:rFonts w:ascii="黑体" w:hAnsi="黑体" w:eastAsia="黑体" w:cs="黑体"/>
          <w:sz w:val="36"/>
          <w:szCs w:val="36"/>
        </w:rPr>
      </w:pPr>
    </w:p>
    <w:p w14:paraId="1A73EA87">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结合门头沟区人口老龄化发展实际，</w:t>
      </w:r>
      <w:r>
        <w:rPr>
          <w:rFonts w:hint="eastAsia" w:ascii="仿宋_GB2312" w:hAnsi="仿宋_GB2312" w:eastAsia="仿宋_GB2312" w:cs="仿宋_GB2312"/>
          <w:sz w:val="32"/>
          <w:szCs w:val="32"/>
          <w:lang w:eastAsia="zh-CN"/>
        </w:rPr>
        <w:t>立足</w:t>
      </w:r>
      <w:r>
        <w:rPr>
          <w:rFonts w:hint="eastAsia" w:ascii="仿宋_GB2312" w:hAnsi="仿宋_GB2312" w:eastAsia="仿宋_GB2312" w:cs="仿宋_GB2312"/>
          <w:sz w:val="32"/>
          <w:szCs w:val="32"/>
        </w:rPr>
        <w:t>首都生态涵养区资源优势和“京西福地”区域品牌，坚守“如我养老”的价值追求，坚持“居家为主、村居支持、机构托底”的服务方向，遵循“需求牵引、系统谋划、治理思维”的工作路径，保持“城乡统筹、因地制宜、分类施策”的工作思路，形成“医养结合、残老结合、幼老结合”的工作合力，把握“尽力而为、量力而行、循序渐进、提质增效”发展节奏，构建新型养老服务体系，增强老年人获得感、幸福感、安全感。</w:t>
      </w:r>
    </w:p>
    <w:p w14:paraId="3A1E67A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至“十四五”末，我区养老兜底保障对象主要包括以下五类人群：基本养老服务对象16093人，其中，特殊困难老年人群3773人，60岁以上困难老年人1781人，失能老年人9053人，80岁以上高龄老年人11059人。预计“十五五”期间，我区养老服务对象规模逐渐扩大、结构深度老化，高龄、失能、失智叠加特征显著。从民生需求看，刚性照护、医养康养、长期保障、适老环境等需求集中，居家社区就近可及服务成为主流选择，但当前供给存在明显短板；专业养老护理员存在缺口，居家上门、夜间照护、失智干预等服务供给不足，农村养老服务设施、人员、资金短板突出。</w:t>
      </w:r>
    </w:p>
    <w:p w14:paraId="47CD176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到“十五五”末，养老服务驿站、老年餐桌和镇街养老服务中心等社区居家养老服务设施实现基本覆盖，区、镇街和村居“3+N+1”养老服务网络成熟完善，基本养老服务清单和市场服务清单进一步丰富，居家社区机构相协调、医养康养相结合的养老服务体系初步构建，养老事业和养老产业协同发展，老龄社会治理新局面初步形成。到2035年，通过持续深化改革，养老服务体系进一步完善成熟，养老事业和养老产业高质量发展，基本养老服务和社区居家养老服务保障能力显著提升，老年友好型社会氛围日益浓厚，老龄社会更加和谐友好，银发经济发展稳步提升，老年人生活更加健康、更有尊严、更具价值。</w:t>
      </w:r>
    </w:p>
    <w:p w14:paraId="2939F1F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一、立足“如我养老”，凝聚积极应对人口老龄化思想共识</w:t>
      </w:r>
    </w:p>
    <w:p w14:paraId="0BFBBEA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积极应对人口老龄化国家战略，将人口老龄化国情市情区情教育作为基础性工程，打牢积极应对人口老龄化的思想根基。以深入学习贯彻习近平总书记关于老龄工作的重要论述为主题主线，支持老年人积极参与社会，促进代际和谐。系统开展人口老龄化形势教育、老龄政策法规教育、积极老龄观与健康老龄化理念教育以及孝亲敬老传统文化教育，每年精心组织“敬老月”系列活动。深入实施中华孝亲敬老文化传承与创新工程，发展具有“京西福地”特色、红色老区风范的孝亲敬老文化，开展失能老年人家庭照护者技能培训，积极参与孝亲敬老“北京榜样”“孝顺榜样”命名等活动，发挥全国“敬老文明号”“敬老爱老助老模范人物”示范引领作用，</w:t>
      </w:r>
      <w:r>
        <w:rPr>
          <w:rFonts w:hint="eastAsia" w:ascii="仿宋_GB2312" w:hAnsi="仿宋_GB2312" w:eastAsia="仿宋_GB2312" w:cs="仿宋_GB2312"/>
          <w:kern w:val="0"/>
          <w:sz w:val="32"/>
          <w:szCs w:val="32"/>
          <w:lang w:val="zh-CN" w:bidi="ar"/>
        </w:rPr>
        <w:t>推动积极看待老龄社会、积极看待老年人、积极看待老年生活在全区成为广泛共识，大力营造代际共融、孝亲敬老的社会氛围。</w:t>
      </w:r>
    </w:p>
    <w:p w14:paraId="694D659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二、锚定“老有所养”，全面满足老年人多样化需求</w:t>
      </w:r>
    </w:p>
    <w:p w14:paraId="4DECFCB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“十五五”期间，我区将进一步驱动老年友好型社会服务供给改革，建立让老区人民放心安心舒心养老的“京西福地”养老服务体系。</w:t>
      </w:r>
    </w:p>
    <w:p w14:paraId="61FA706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强化顶层设计与节点推进，完成基本养老服务清单制定，规范和丰富普惠型居家养老服务。健全完善“3+1+N”养老服务网络建设，强化区级中枢作用；加密区域节点，在现状5家镇街区域养老服务中心的基础上，科学规划新建一批，到2030年覆盖率达到75%以上，并实现连锁化、品牌化运营；织密社区末梢，实施“驿站网络”优化增效工程，规划中期出台并实施《门头沟区养老服务驿站优化设置方案》，推广公建民营、民建公助等模式，引入社会资本和专业组织，探索“以大带小”连锁化运营，压实区级统筹、镇街实施、驿站延伸、协会联动的四级责任。</w:t>
      </w:r>
    </w:p>
    <w:p w14:paraId="6F2C29D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多方联动深化家庭养老支持。夯实居家养老基础地位，规范家庭养老床位上门服务标准，深化居家医养结合服务，构建家庭养老床位、家庭病床、机构床位、住院医疗床位、安宁疗护床位相互转介、资源共享的“五床联动”机制，做实高龄、失能失智老人家庭医生上门诊疗护理服务。推进“家政+养老”“物业+养老”“平台+养老”融合发展，引导养老服务机构开发普惠性、定制化居家养老服务套餐，丰富助餐、助浴、助医等专业供给和照护技能培训，为居家重度失能失智老年人提供精准优质照料。在“十四五”期末676张家庭养老床位基础上，持续开展家庭养老床位建设，开展老年人居家适老化改造，大规模开展家庭照护者技能培训。依托中关村门头沟园科技资源及区属国有物业企业资源，鼓励企业围绕老年人日常生活提供智能化产品及服务。强化社区养老依托功能，补齐“一老一小”代际融合活动场所。</w:t>
      </w:r>
    </w:p>
    <w:p w14:paraId="2F45A75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城乡分治”强化基层养老支撑。优化养老服务驿站布局与功能，引导城区驿站向“专业照护型”发展，支持山区驿站强化“巡诊探访、应急支援、物资代购、精神慰藉”等综合服务功能，形成城区侧重“智慧赋能、专业照护”，山区侧重“互助公益、应急支援”的差异化发展路径。出台“推动养老助餐可持续发展二十项举措”，推广城区“中央厨房+驿站就餐+平台送餐”等普惠模式；在山区推广“邻里互助点助餐”、“流动餐车”等灵活模式，到2027年基本解决山区老年人就餐不便问题。在城区总结推广“微网融情 快乐养老”“党建引领+志愿服务”“银发经济生态圈”等试点经验，在山区持续推进农村邻里互助养老服务点建设，每年新建不少于10个，到2030年覆盖所有有需求的偏远山村。</w:t>
      </w:r>
    </w:p>
    <w:p w14:paraId="55DB920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优化布局提升机构专业支持。发展养老机构护理型床位，到2030年，全区养老机构护理型床位占比达到73%；100张床位以上且具备相应服务能力的养老机构失智老年人照护专区（单元）设置率不低于50%。完成1所区级失能特困人员专业照护机构建设、2所养老机构灾后异地建设项目，同步推动养老照料中心转型，落实闲置设施改建路径。到2030年，每千名常住人口拥有养老床位数达到8.25张以上，万名老年人拥有护理员数达到100人。</w:t>
      </w:r>
    </w:p>
    <w:p w14:paraId="24D469C6">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三、倡导“银龄共治”，支持扩大老年人社会参与</w:t>
      </w:r>
    </w:p>
    <w:p w14:paraId="0C1F0BE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实施“银龄生辉”社会参与工程，重点支持在平安治理服务、文明建设活动、科创支撑服务、邻里互助行动四大领域为低龄健康老年人设立更多志愿服务岗位，依托</w:t>
      </w:r>
      <w:r>
        <w:rPr>
          <w:rFonts w:hint="eastAsia" w:ascii="仿宋_GB2312" w:hAnsi="仿宋_GB2312" w:eastAsia="仿宋_GB2312" w:cs="仿宋_GB2312"/>
          <w:sz w:val="32"/>
          <w:szCs w:val="32"/>
          <w:lang w:eastAsia="zh-CN"/>
        </w:rPr>
        <w:t>区级社会组织</w:t>
      </w:r>
      <w:r>
        <w:rPr>
          <w:rFonts w:hint="eastAsia" w:ascii="仿宋_GB2312" w:hAnsi="仿宋_GB2312" w:eastAsia="仿宋_GB2312" w:cs="仿宋_GB2312"/>
          <w:sz w:val="32"/>
          <w:szCs w:val="32"/>
        </w:rPr>
        <w:t>，培育1-2个具有门头沟特色的老年志愿服务品牌项目，持续办好“新市民学堂”老年教育班次，每年服务不少于4000人次。探索通过“老年友好型单位”挂牌、慢行街区改造优化生活环境，推进社区无障碍建设，提供“一站式”政务与上门服务。全面推进全国示范性老年友好型社区创建，确保斋堂镇柏峪村等3个点位于2026年通过验收，“十五五”期间每年新增1-2个创建点位。依托镇街养老服务中心开设“老年大学”，用好老干部、老战士、老专家、老教师、老模范“五老”资源。整合村居文化设施资源，探索建立“15分钟学习圈”。</w:t>
      </w:r>
    </w:p>
    <w:p w14:paraId="3F5AF9E3">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四、着眼“呼有所应”，全方位保障老年人各项权益</w:t>
      </w:r>
    </w:p>
    <w:p w14:paraId="156781E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让“老老人”、特殊困难老人老有所靠为目标，实施“诗画乡村健康e站”工程，搭建联通社区卫生服务中心和区级医疗机构的“城乡健康一体化诊疗服务平台”。持续做好经济困难老年人家庭的居家适老化改造和应急呼叫设备安装、家庭养老床位建设等服务质量跟踪回访。深化特殊困难老年人探访关爱服务，推动巡访工作从“问候式”向“专业评估+精准帮扶”转型，“十五五”期间，月均探访关爱稳定在4000人次以上。</w:t>
      </w:r>
    </w:p>
    <w:p w14:paraId="4A55563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落实《北京市养老服务条例》、《北京市老年人权益保障条例》，围绕保险、社会治理、法治保障三大维度，构建覆盖全面、保障有力的老年友好型社会基础保障体系。在保险领域联动社会力量，在社会治理中整合政务资源</w:t>
      </w:r>
      <w:r>
        <w:rPr>
          <w:rFonts w:hint="eastAsia" w:ascii="仿宋_GB2312" w:hAnsi="仿宋_GB2312" w:eastAsia="仿宋_GB2312" w:cs="仿宋_GB2312"/>
          <w:sz w:val="32"/>
          <w:szCs w:val="32"/>
          <w:lang w:eastAsia="zh-CN"/>
        </w:rPr>
        <w:t>和社会力量</w:t>
      </w:r>
      <w:r>
        <w:rPr>
          <w:rFonts w:hint="eastAsia" w:ascii="仿宋_GB2312" w:hAnsi="仿宋_GB2312" w:eastAsia="仿宋_GB2312" w:cs="仿宋_GB2312"/>
          <w:sz w:val="32"/>
          <w:szCs w:val="32"/>
        </w:rPr>
        <w:t>，在法治保障上完善区、镇街、村居三级老年维权网络。优先推进长期护理保险制度启动、长期照护保障制度建立等关键保险举措，适时启动门头沟区长期护理保险，推动商业保险与医保衔接，鼓励社会力量捐赠。提高对老年人的法律援助工作效率和水平，树立区级老年维权示范岗，健全政法部门协同联动机制，深化老年人权益保护法治宣传与风险防范教育，聚焦养老消费、监护赡养、涉老婚姻、财产继承、理财投资、保健养生、涉老诈骗等重点领域，常态化开展风险排查预警，依法加大矛盾纠纷化解和违法犯罪打击力度，最终形成制度完善、环境友好、权益有保的老年友好型社会基础保障格局。</w:t>
      </w:r>
    </w:p>
    <w:p w14:paraId="4C771F9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五、聚力“银发经济”，推动夯实应对人口老龄化物质基础</w:t>
      </w:r>
    </w:p>
    <w:p w14:paraId="4207024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国务院办公厅《关于发展银发经济增进老年人福祉的意见》，优化政策降低要素成本，打造京西养老品牌，鼓励民营企业参与养老服务，培育规模化、集群化、品牌化养老服务龙头企业。结合“敬老文明号”创建等活动，加快建设区级康复辅助器具服务中心，支持社区、养老机构、各类商超设立适老化生活体验站，推动适老化家居、通讯设备、功能性服饰、康复辅具等老年用品实现展示、配置、租赁、销售一体化集成服务，提升老年用品供给便捷度。充分发挥门头沟区生态涵养区资源优势，推动养老服务与落实乡村振兴战略、推进“诗画乡村”建设融合发展，打造特色老年体育赛事消费场景，打造一批彰显京西人文与生态魅力的老年精品旅游线路，促进文旅体与养老融合发展。搭建科技赋能平台，依托“互联网+智慧养老”平台实现供需精准对接，推动政务数据共享与智慧养老技术应用，打造兼具科技感与人文关怀的老年友好型社会样板。实施向中度以上失能老年人发放养老服务消费补贴项目，在春节、重阳节等传统节日，积极引导区域电商平台及大型商超开展养老服务消费季、银龄购物节活动，设立银发消费专区，激发银发消费潜力。鼓励银行、保险等金融机构面向“老老人”“以老养残家庭”精准提供个性化养老财务规划，助力老年群体提升养老保障水平。</w:t>
      </w:r>
    </w:p>
    <w:p w14:paraId="64DA6AF4">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六、围绕制度建设，构建多维组织支持保障网络</w:t>
      </w:r>
    </w:p>
    <w:p w14:paraId="47CCD81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遵循“党建引领、养老为民、基层治理”的工作原则，加强对养老服务体系改革工作的组织领导，坚持在区委领导统筹下，建立老龄工作联席会议机制，强化全区老龄事业发展与养老服务改革的统筹协调；加强党对老龄工作的全面领导，理顺体制，健全老龄工作联席会议制度，推进成立区老龄工作委员会，健全社会保障、养老服务、健康支撑体系。对改革进程实施动态监督，对实施效果开展定期评估，深化监督评估结果应用，结合实践细化调整举措，总结成效并推广先进经验，确保改革达成预期目标。牵头建立民政、卫健、医保、残联等部门参与的老年人能力评估结果共享与应用会商机制，将探访关爱系统、老年人能力评估系统与区级养老智慧服务平台深度对接。构建“一网统管”平台，整合消防、食品、建筑、服务质量、资金流向等监测数据，实现对全区养老服务机构非现场监管全覆盖，提示智能预警风险隐患水平。</w:t>
      </w:r>
    </w:p>
    <w:p w14:paraId="385BC6C1">
      <w:pPr>
        <w:spacing w:line="560" w:lineRule="exact"/>
        <w:jc w:val="center"/>
        <w:rPr>
          <w:rFonts w:ascii="黑体" w:hAnsi="黑体" w:eastAsia="黑体" w:cs="黑体"/>
          <w:sz w:val="36"/>
          <w:szCs w:val="36"/>
        </w:rPr>
      </w:pPr>
      <w:bookmarkStart w:id="15" w:name="_Toc105573152"/>
    </w:p>
    <w:p w14:paraId="065C695C">
      <w:pPr>
        <w:spacing w:line="560" w:lineRule="exact"/>
        <w:jc w:val="center"/>
        <w:rPr>
          <w:rFonts w:ascii="黑体" w:hAnsi="黑体" w:eastAsia="黑体" w:cs="黑体"/>
          <w:sz w:val="36"/>
          <w:szCs w:val="36"/>
        </w:rPr>
      </w:pPr>
      <w:r>
        <w:rPr>
          <w:rFonts w:hint="eastAsia" w:ascii="黑体" w:hAnsi="黑体" w:eastAsia="黑体" w:cs="黑体"/>
          <w:sz w:val="36"/>
          <w:szCs w:val="36"/>
        </w:rPr>
        <w:t xml:space="preserve">第四部分 </w:t>
      </w:r>
      <w:bookmarkEnd w:id="15"/>
      <w:r>
        <w:rPr>
          <w:rFonts w:hint="eastAsia" w:ascii="黑体" w:hAnsi="黑体" w:eastAsia="黑体" w:cs="黑体"/>
          <w:sz w:val="36"/>
          <w:szCs w:val="36"/>
        </w:rPr>
        <w:t>健全分层分类、精准高效的社会救助体系</w:t>
      </w:r>
    </w:p>
    <w:p w14:paraId="030B0014">
      <w:pPr>
        <w:spacing w:line="560" w:lineRule="exact"/>
        <w:jc w:val="center"/>
        <w:rPr>
          <w:rFonts w:ascii="黑体" w:hAnsi="黑体" w:eastAsia="黑体" w:cs="黑体"/>
          <w:sz w:val="36"/>
          <w:szCs w:val="36"/>
        </w:rPr>
      </w:pPr>
    </w:p>
    <w:p w14:paraId="1C62B8E8">
      <w:pPr>
        <w:spacing w:line="560" w:lineRule="exact"/>
        <w:ind w:firstLine="640" w:firstLineChars="200"/>
        <w:rPr>
          <w:rFonts w:ascii="仿宋_GB2312" w:hAnsi="仿宋_GB2312" w:eastAsia="仿宋_GB2312" w:cs="仿宋_GB2312"/>
          <w:sz w:val="32"/>
          <w:szCs w:val="32"/>
        </w:rPr>
      </w:pPr>
      <w:bookmarkStart w:id="16" w:name="_Toc105573153"/>
      <w:r>
        <w:rPr>
          <w:rFonts w:hint="eastAsia" w:ascii="仿宋_GB2312" w:hAnsi="仿宋_GB2312" w:eastAsia="仿宋_GB2312" w:cs="仿宋_GB2312"/>
          <w:sz w:val="32"/>
          <w:szCs w:val="32"/>
        </w:rPr>
        <w:t>立足门头沟区生态涵养区功能定位，针对城乡发展差异大、低收入人口分散、自然灾害易发等区情实际，持续完善以基本生活救助为基础、专项救助为支撑、社会力量参与为补充的分层分类救助体系。推动社会救助由“被动响应”向“主动发现”转变、由“单一保障”向“综合帮扶”拓展，努力构建更加精准、公平、可持续的社会救助格局，切实兜住兜准兜牢民生底线。</w:t>
      </w:r>
    </w:p>
    <w:p w14:paraId="319CB11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w:t>
      </w:r>
      <w:bookmarkEnd w:id="16"/>
      <w:r>
        <w:rPr>
          <w:rFonts w:hint="eastAsia" w:ascii="黑体" w:hAnsi="黑体" w:eastAsia="黑体" w:cs="黑体"/>
          <w:sz w:val="32"/>
          <w:szCs w:val="32"/>
        </w:rPr>
        <w:t>强化社会救助制度体系建设</w:t>
      </w:r>
    </w:p>
    <w:p w14:paraId="1227906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“十四五”末期，门头沟区共保障城乡低保、特困、低收入等社会救助对象4517户、8306人，约占全区户籍人口的3.2%，预计“十五五”期间，全区社会救助对象数量稳中有调，低保、特困规模小幅</w:t>
      </w:r>
      <w:r>
        <w:rPr>
          <w:rFonts w:hint="eastAsia" w:ascii="仿宋_GB2312" w:hAnsi="仿宋_GB2312" w:eastAsia="仿宋_GB2312" w:cs="仿宋_GB2312"/>
          <w:sz w:val="32"/>
          <w:szCs w:val="32"/>
          <w:lang w:eastAsia="zh-CN"/>
        </w:rPr>
        <w:t>震荡</w:t>
      </w:r>
      <w:r>
        <w:rPr>
          <w:rFonts w:hint="eastAsia" w:ascii="仿宋_GB2312" w:hAnsi="仿宋_GB2312" w:eastAsia="仿宋_GB2312" w:cs="仿宋_GB2312"/>
          <w:sz w:val="32"/>
          <w:szCs w:val="32"/>
        </w:rPr>
        <w:t>，低收入群体保持稳定，支出型、流动型困难</w:t>
      </w:r>
      <w:r>
        <w:rPr>
          <w:rFonts w:hint="eastAsia" w:ascii="仿宋_GB2312" w:hAnsi="仿宋_GB2312" w:eastAsia="仿宋_GB2312" w:cs="仿宋_GB2312"/>
          <w:sz w:val="32"/>
          <w:szCs w:val="32"/>
          <w:lang w:eastAsia="zh-CN"/>
        </w:rPr>
        <w:t>需求有所</w:t>
      </w:r>
      <w:r>
        <w:rPr>
          <w:rFonts w:hint="eastAsia" w:ascii="仿宋_GB2312" w:hAnsi="仿宋_GB2312" w:eastAsia="仿宋_GB2312" w:cs="仿宋_GB2312"/>
          <w:sz w:val="32"/>
          <w:szCs w:val="32"/>
        </w:rPr>
        <w:t>扩大。“十五五”期间，将健全最低生活保障、特困人员供养、临时救助、医疗救助、教育救助、住房救助、就业救助等相衔接的分层分类救助体系，建设“应保尽保、应救尽救”的分层分类保障制度。进一步强化政策衔接与动态调整，到2030年，我区低保标准占人均消费支出预计在30%-38%区间，对城乡低保、特困、低收入群体开展基本生活救助、专项救助预估累计支出救助资金8亿元。落实刚性支出困难家庭认定办法，科学确定救助标准和覆盖范围。完善低收入人口动态监测与渐退机制，防止“政策悬崖”和“福利依赖”。建立救助政策会商机制，加强与人社、住建、卫健、财政等部门协同，织密扎牢“兜底保障一张网”。</w:t>
      </w:r>
    </w:p>
    <w:p w14:paraId="5058EFE9">
      <w:pPr>
        <w:spacing w:line="560" w:lineRule="exact"/>
        <w:ind w:firstLine="640" w:firstLineChars="200"/>
        <w:rPr>
          <w:rFonts w:ascii="黑体" w:hAnsi="黑体" w:eastAsia="黑体" w:cs="黑体"/>
          <w:sz w:val="32"/>
          <w:szCs w:val="32"/>
        </w:rPr>
      </w:pPr>
      <w:bookmarkStart w:id="17" w:name="_Toc105573154"/>
      <w:r>
        <w:rPr>
          <w:rFonts w:hint="eastAsia" w:ascii="黑体" w:hAnsi="黑体" w:eastAsia="黑体" w:cs="黑体"/>
          <w:sz w:val="32"/>
          <w:szCs w:val="32"/>
        </w:rPr>
        <w:t>二、</w:t>
      </w:r>
      <w:bookmarkEnd w:id="17"/>
      <w:r>
        <w:rPr>
          <w:rFonts w:hint="eastAsia" w:ascii="黑体" w:hAnsi="黑体" w:eastAsia="黑体" w:cs="黑体"/>
          <w:sz w:val="32"/>
          <w:szCs w:val="32"/>
        </w:rPr>
        <w:t>推动救助服务数字化精准化</w:t>
      </w:r>
    </w:p>
    <w:p w14:paraId="04ED9C9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社会救助领域数字化建设进程，整合低保、特困、残疾人补贴、临时救助等信息，推动救助对象认定、资金发放、服务跟踪等一体化管理，构建“动态监测、需求评估、资源匹配、精准服务、监管有力”的运行机制，全面优化“物质+服务”综合救助效能。推动“民政+大数据+网格化管理”机制应用，依托社区网格员、社工、志愿者开展困难群众主动排查和定期探访，形成“系统比对-入户走访-动态更新”闭环。健全“线上预警—线下核查—救助帮扶—结果反馈”全链条闭环管理，严防救助遗漏与救助重复。完善“北京市社会救助信息管理系统”应用，推进救助事项网上申办、即时核查、即时救助。</w:t>
      </w:r>
    </w:p>
    <w:p w14:paraId="1050D834">
      <w:pPr>
        <w:spacing w:line="560" w:lineRule="exact"/>
        <w:ind w:firstLine="640" w:firstLineChars="200"/>
        <w:rPr>
          <w:rFonts w:ascii="黑体" w:hAnsi="黑体" w:eastAsia="黑体" w:cs="黑体"/>
          <w:sz w:val="32"/>
          <w:szCs w:val="32"/>
        </w:rPr>
      </w:pPr>
      <w:bookmarkStart w:id="18" w:name="_Toc105573155"/>
      <w:r>
        <w:rPr>
          <w:rFonts w:hint="eastAsia" w:ascii="黑体" w:hAnsi="黑体" w:eastAsia="黑体" w:cs="黑体"/>
          <w:sz w:val="32"/>
          <w:szCs w:val="32"/>
        </w:rPr>
        <w:t>三、</w:t>
      </w:r>
      <w:bookmarkEnd w:id="18"/>
      <w:r>
        <w:rPr>
          <w:rFonts w:hint="eastAsia" w:ascii="黑体" w:hAnsi="黑体" w:eastAsia="黑体" w:cs="黑体"/>
          <w:sz w:val="32"/>
          <w:szCs w:val="32"/>
        </w:rPr>
        <w:t>提升急难型救助和灾害应急服务能力</w:t>
      </w:r>
    </w:p>
    <w:p w14:paraId="6E3E556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健全区级应急救助协调机制，完善物资储备体系，优化救助物资储备站布局。强化救灾资金直达机制和救助责任落实，完善低温雨雪、汛期洪涝、地质灾害等应急救助预案。探索灾后“一站式”综合帮扶机制，推动灾害救助、社会救助、心理干预、志愿服务协同衔接。加强救助机构标准化改造，构建科学完善的救助应急机制，加强与公安、卫健、信访等部门联动，健全长期滞留流浪乞讨人员身份核验、安置转介、救助托养等服务机制，形成从发现、救助、寻亲、到后续跟进的临时遇困人员全链条救助体系。加强临时遇困人员救助帮扶与服务保障，常态化开展“夏季送清凉”“寒冬送温暖”专项救助行动，扎实做好重要时点、重大活动期间救助管护，切实维护社会安全稳定。严格救助托养机构监督管理，压实安全管理责任。深化“互联网+”寻亲服务。精心组织救助管理机构“6.19”开放日系列活动。</w:t>
      </w:r>
    </w:p>
    <w:p w14:paraId="37D82AC3">
      <w:pPr>
        <w:spacing w:line="560" w:lineRule="exact"/>
        <w:ind w:firstLine="640" w:firstLineChars="200"/>
        <w:rPr>
          <w:rFonts w:ascii="黑体" w:hAnsi="黑体" w:eastAsia="黑体" w:cs="黑体"/>
          <w:sz w:val="32"/>
          <w:szCs w:val="32"/>
        </w:rPr>
      </w:pPr>
      <w:bookmarkStart w:id="19" w:name="_Toc105573156"/>
      <w:r>
        <w:rPr>
          <w:rFonts w:hint="eastAsia" w:ascii="黑体" w:hAnsi="黑体" w:eastAsia="黑体" w:cs="黑体"/>
          <w:sz w:val="32"/>
          <w:szCs w:val="32"/>
        </w:rPr>
        <w:t>四、</w:t>
      </w:r>
      <w:bookmarkEnd w:id="19"/>
      <w:r>
        <w:rPr>
          <w:rFonts w:hint="eastAsia" w:ascii="黑体" w:hAnsi="黑体" w:eastAsia="黑体" w:cs="黑体"/>
          <w:sz w:val="32"/>
          <w:szCs w:val="32"/>
        </w:rPr>
        <w:t>强化社会力量参与</w:t>
      </w:r>
    </w:p>
    <w:p w14:paraId="312FF0B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在“十五五”期间，我区社会救助对象对失能照护、医疗康复、心理疏导“物质+服务”的需求将快速增长，失业、疾病、灾害等成为致困主因，边缘群体、流动困难群体、支出型困难家庭规模扩大，救助需求</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上升。“十五五”期间，鼓励社会组织、慈善机构、专业社工机构参与救助服务，建立困难群众社会帮扶项目库，开展品牌救助创新实践。推进“社会组织+专业社工”模式探索实践，积极发展服务类社会救助，面向低收入家庭和困境群体，围绕“资源链接—心理疏导—就业帮扶—社会融入”路径，探索以能力提升和生活重建为导向的服务模式，形成可复制的精准救助模式。完善政府购买服务机制，健全绩效评估和第三方监督制度，推动救助服务从“物质型”向“综合型”“赋能型”转变。</w:t>
      </w:r>
    </w:p>
    <w:p w14:paraId="37D66322">
      <w:pPr>
        <w:spacing w:line="560" w:lineRule="exact"/>
        <w:jc w:val="center"/>
        <w:rPr>
          <w:rFonts w:ascii="黑体" w:hAnsi="黑体" w:eastAsia="黑体" w:cs="黑体"/>
          <w:sz w:val="36"/>
          <w:szCs w:val="36"/>
        </w:rPr>
      </w:pPr>
    </w:p>
    <w:p w14:paraId="4775E56D">
      <w:pPr>
        <w:spacing w:line="560" w:lineRule="exact"/>
        <w:jc w:val="center"/>
        <w:rPr>
          <w:rFonts w:ascii="黑体" w:hAnsi="黑体" w:eastAsia="黑体" w:cs="黑体"/>
          <w:sz w:val="36"/>
          <w:szCs w:val="36"/>
        </w:rPr>
      </w:pPr>
      <w:r>
        <w:rPr>
          <w:rFonts w:hint="eastAsia" w:ascii="黑体" w:hAnsi="黑体" w:eastAsia="黑体" w:cs="黑体"/>
          <w:sz w:val="36"/>
          <w:szCs w:val="36"/>
        </w:rPr>
        <w:t>第五部分 完善社会福利体系，优化特殊群体关爱服务</w:t>
      </w:r>
    </w:p>
    <w:p w14:paraId="2973136F">
      <w:pPr>
        <w:spacing w:line="560" w:lineRule="exact"/>
        <w:jc w:val="center"/>
        <w:rPr>
          <w:rFonts w:ascii="黑体" w:hAnsi="黑体" w:eastAsia="黑体" w:cs="黑体"/>
          <w:sz w:val="36"/>
          <w:szCs w:val="36"/>
        </w:rPr>
      </w:pPr>
    </w:p>
    <w:p w14:paraId="672B90A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保基本、兜底线、促普惠的总体思路，聚焦老年人、残疾人、困境儿童等特殊群体的基本生活、康复照护和社会融入需求，持续健全社会福利制度体系，优化福利服务网络布局，不断提升社会福利保障水平和公共服务质量，努力实现“服务更加普惠、保障更加精准、生活更加有尊严”的发展目标。</w:t>
      </w:r>
    </w:p>
    <w:p w14:paraId="2BF8AD4A">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一、完善残疾人福利保障，提升托养服务能力</w:t>
      </w:r>
    </w:p>
    <w:p w14:paraId="4581C1E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全面落实残疾人两项补贴动态调整机制，积极推进困难残疾人救助工作。深入实施“精康融合”提升行动，聚焦补齐山区、服务薄弱区域社区康复服务短板，稳步提高精神障碍社区康复服务镇街覆盖率</w:t>
      </w:r>
      <w:r>
        <w:rPr>
          <w:rFonts w:hint="eastAsia" w:ascii="仿宋_GB2312" w:hAnsi="仿宋_GB2312" w:eastAsia="仿宋_GB2312" w:cs="仿宋_GB2312"/>
          <w:sz w:val="32"/>
          <w:szCs w:val="32"/>
          <w:lang w:val="en"/>
        </w:rPr>
        <w:t>，到“十五五”末，全区开展精神障碍社区康复服务的镇街覆盖率</w:t>
      </w:r>
      <w:r>
        <w:rPr>
          <w:rFonts w:ascii="仿宋_GB2312" w:hAnsi="仿宋_GB2312" w:eastAsia="仿宋_GB2312" w:cs="仿宋_GB2312"/>
          <w:sz w:val="32"/>
          <w:szCs w:val="32"/>
          <w:lang w:val="en"/>
        </w:rPr>
        <w:t>95</w:t>
      </w:r>
      <w:r>
        <w:rPr>
          <w:rFonts w:hint="eastAsia" w:ascii="仿宋_GB2312" w:hAnsi="仿宋_GB2312" w:eastAsia="仿宋_GB2312" w:cs="仿宋_GB2312"/>
          <w:sz w:val="32"/>
          <w:szCs w:val="32"/>
          <w:lang w:val="en"/>
        </w:rPr>
        <w:t>%，</w:t>
      </w:r>
      <w:r>
        <w:rPr>
          <w:rFonts w:ascii="仿宋_GB2312" w:hAnsi="仿宋_GB2312" w:eastAsia="仿宋_GB2312" w:cs="仿宋_GB2312"/>
          <w:sz w:val="32"/>
          <w:szCs w:val="32"/>
          <w:lang w:val="en"/>
        </w:rPr>
        <w:t>区级康复辅助器具服务中心覆盖率</w:t>
      </w:r>
      <w:r>
        <w:rPr>
          <w:rFonts w:hint="eastAsia" w:ascii="仿宋_GB2312" w:hAnsi="仿宋_GB2312" w:eastAsia="仿宋_GB2312" w:cs="仿宋_GB2312"/>
          <w:sz w:val="32"/>
          <w:szCs w:val="32"/>
          <w:lang w:val="en"/>
        </w:rPr>
        <w:t>1</w:t>
      </w:r>
      <w:r>
        <w:rPr>
          <w:rFonts w:ascii="仿宋_GB2312" w:hAnsi="仿宋_GB2312" w:eastAsia="仿宋_GB2312" w:cs="仿宋_GB2312"/>
          <w:sz w:val="32"/>
          <w:szCs w:val="32"/>
          <w:lang w:val="en"/>
        </w:rPr>
        <w:t>00</w:t>
      </w:r>
      <w:r>
        <w:rPr>
          <w:rFonts w:hint="eastAsia" w:ascii="仿宋_GB2312" w:hAnsi="仿宋_GB2312" w:eastAsia="仿宋_GB2312" w:cs="仿宋_GB2312"/>
          <w:sz w:val="32"/>
          <w:szCs w:val="32"/>
          <w:lang w:val="en"/>
        </w:rPr>
        <w:t>%。深化与镇街、康养企业、社会组织等多方合作，加快推进区级及镇街康复辅具服务站点布局建设。</w:t>
      </w:r>
      <w:r>
        <w:rPr>
          <w:rFonts w:hint="eastAsia" w:ascii="仿宋_GB2312" w:hAnsi="仿宋_GB2312" w:eastAsia="仿宋_GB2312" w:cs="仿宋_GB2312"/>
          <w:sz w:val="32"/>
          <w:szCs w:val="32"/>
        </w:rPr>
        <w:t>持续加强残疾人托养和照护服务，支持符合条件的养老（托养）服务机构开展专业康复服务，推动建立区级残疾人助浴服务示范中心。确保适龄残疾儿童义务教育入学率保持99%以上，落实好残疾人就业促进政策。完善区、镇街、村居三级康复服务网络，保持基本康复服务覆盖率90%以上，确保有需要的残疾儿童“应康复尽康复”。落实成人康复补贴政策。鼓励社会力量开展残疾人就业、康复、照护、无障碍等服务。优化辅助器具政策服务体系，开展残疾儿童康复定点机构和辅具平台企业培训和服务监督，推进康复辅具社区租赁工作。</w:t>
      </w:r>
    </w:p>
    <w:p w14:paraId="2CBBAC6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二、健全儿童福利保护体系，强化困境儿童关爱服务</w:t>
      </w:r>
    </w:p>
    <w:p w14:paraId="7BB8AF2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落实《北京市困境儿童保障工作方案》，完善困境儿童信息台账和动态监测制度，至“十四五”末，我区共有孤儿、事实无人抚养儿童、低保家庭重病重残儿童等各类享受保障待遇的困境儿童66人（集中供养孤儿10人、社会散居56人），预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十五五”期间，各类享受保障待遇的困境儿童总量保持低位平稳，集中供养孤儿占比逐年下降，我区将进一步落实保障标准自然增长机制，实现应保尽保、动态管理，健全“发现—报告—评估—帮扶”闭环机制。成立流动儿童和留守儿童权益的保障小组，强化部门协同、镇街村居联动，高标准完成困境儿童和农村留守儿童关爱服务质量提升的三年行动。依托镇街未成年人保护工作站、儿童督导员及儿童主任，对流动儿童实施动态台账管理，至“十四五”末，我区已建立流动儿童监测摸排与统计分析机制，共摸排流动儿童7600人，整体呈现常住化、长期化特点，“十五五”期间，将持续强化儿童督导员、儿童主任基层队伍建设，加大困境儿童日常探访、主动发现力度，选树宣传先进典型，讲好京西儿童主任暖心故事。引导公益慈善力量、社会组织深度参与儿童关爱服务，聚焦山区儿童、留守流动儿童、残疾儿童等重点群体，精准实施关爱项目，打造具有门头沟山区特色的未成年人保护工作品牌，切实守护儿童健康成长。</w:t>
      </w:r>
    </w:p>
    <w:p w14:paraId="45F2729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三、推动社会福利设施提档升级，完善服务功能布局</w:t>
      </w:r>
    </w:p>
    <w:p w14:paraId="3B8BBD5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结合“十五五”时期人口分布和服务需求，优化门头沟区“十五五”社会福利设施建设布局</w:t>
      </w:r>
      <w:r>
        <w:rPr>
          <w:rFonts w:hint="eastAsia" w:ascii="仿宋_GB2312" w:hAnsi="仿宋_GB2312" w:eastAsia="仿宋_GB2312" w:cs="仿宋_GB2312"/>
          <w:color w:val="0000FF"/>
          <w:sz w:val="32"/>
          <w:szCs w:val="32"/>
        </w:rPr>
        <w:t>。</w:t>
      </w:r>
      <w:r>
        <w:rPr>
          <w:rFonts w:hint="eastAsia" w:ascii="仿宋_GB2312" w:hAnsi="仿宋_GB2312" w:eastAsia="仿宋_GB2312" w:cs="仿宋_GB2312"/>
          <w:sz w:val="32"/>
          <w:szCs w:val="32"/>
        </w:rPr>
        <w:t>推进镇街层面福利设施嵌入式建设，形成“集中托养与社区照护相结合”的服务格局。优化区级未成年人救助保护机构功能布局，建设集监护指导、心理辅导、家庭支持、社会融入为一体的儿童福利综合服务平台。实施“儿童友好社区”建设行动，完善社区儿童之家、未成年人救助保护站等阵地功能，在部分镇街设立“儿童关爱工作站”，推广社会组织、社工参与困境儿童陪伴与成长计划。推动公办福利机构向多功能、开放型、示范性转型，完善政府购买服务机制，引导社会力量规范参与老年人、残疾人、儿童等群体的综合性福利服务供给。</w:t>
      </w:r>
    </w:p>
    <w:p w14:paraId="6DA33016">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四、推进福利事业智能化转型与标准化建设</w:t>
      </w:r>
    </w:p>
    <w:p w14:paraId="232EC22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探索建设“智慧助残”“智慧儿童关爱”信息平台建设，推进助残、儿童保护、社会救助等业务数据互联互通，实现对特殊群体的精准识别、需求响应与服务匹配。推动福利机构数字化改造，建设电子台账、监测预警和绩效评估系统。健全社会福利标准化体系，完善残疾人托养服务、儿童养育照护、社会福利机构管理等地方标准，提升服务规范化和安全管理水平。</w:t>
      </w:r>
      <w:r>
        <w:rPr>
          <w:rFonts w:hint="eastAsia" w:ascii="仿宋_GB2312" w:hAnsi="仿宋_GB2312" w:eastAsia="仿宋_GB2312" w:cs="仿宋_GB2312"/>
          <w:color w:val="auto"/>
          <w:sz w:val="32"/>
          <w:szCs w:val="32"/>
          <w:highlight w:val="none"/>
          <w:lang w:val="en-US" w:eastAsia="zh-CN"/>
        </w:rPr>
        <w:t>积极争取市级福彩公益金支持，实施困境儿童关爱帮扶、机构设施提质升级等项目</w:t>
      </w:r>
      <w:r>
        <w:rPr>
          <w:rFonts w:hint="eastAsia" w:ascii="仿宋_GB2312" w:hAnsi="仿宋_GB2312" w:eastAsia="仿宋_GB2312" w:cs="仿宋_GB2312"/>
          <w:sz w:val="32"/>
          <w:szCs w:val="32"/>
        </w:rPr>
        <w:t>，促进福彩公益金社会效益有效发挥。</w:t>
      </w:r>
    </w:p>
    <w:p w14:paraId="36226B35">
      <w:pPr>
        <w:spacing w:line="560" w:lineRule="exact"/>
        <w:jc w:val="center"/>
        <w:rPr>
          <w:rFonts w:ascii="黑体" w:hAnsi="黑体" w:eastAsia="黑体" w:cs="黑体"/>
          <w:sz w:val="36"/>
          <w:szCs w:val="36"/>
        </w:rPr>
      </w:pPr>
    </w:p>
    <w:p w14:paraId="439E706F">
      <w:pPr>
        <w:spacing w:line="560" w:lineRule="exact"/>
        <w:jc w:val="center"/>
        <w:rPr>
          <w:rFonts w:ascii="黑体" w:hAnsi="黑体" w:eastAsia="黑体" w:cs="黑体"/>
          <w:sz w:val="36"/>
          <w:szCs w:val="36"/>
        </w:rPr>
      </w:pPr>
      <w:r>
        <w:rPr>
          <w:rFonts w:hint="eastAsia" w:ascii="黑体" w:hAnsi="黑体" w:eastAsia="黑体" w:cs="黑体"/>
          <w:sz w:val="36"/>
          <w:szCs w:val="36"/>
        </w:rPr>
        <w:t>第六部分 提升社会事务管理与公共服务水平</w:t>
      </w:r>
    </w:p>
    <w:p w14:paraId="5D522441">
      <w:pPr>
        <w:spacing w:line="560" w:lineRule="exact"/>
        <w:jc w:val="center"/>
        <w:rPr>
          <w:rFonts w:ascii="黑体" w:hAnsi="黑体" w:eastAsia="黑体" w:cs="黑体"/>
          <w:sz w:val="36"/>
          <w:szCs w:val="36"/>
        </w:rPr>
      </w:pPr>
    </w:p>
    <w:p w14:paraId="2F425D4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聚焦人民群众普遍关切的婚姻登记、殡葬服务、见义勇为权益保障等重点领域，坚持“以人民为中心”的服务导向，持续深化“放管服”改革，优化公共服务流程，完善基础设施建设，推动专项社会事务管理服务标准化、便民化、人文化、智能化，不断提升群众获得感与满意度。</w:t>
      </w:r>
    </w:p>
    <w:p w14:paraId="54A671A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一、深化殡葬改革，建设绿色文明殡葬体系</w:t>
      </w:r>
    </w:p>
    <w:p w14:paraId="46964C5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深入贯彻落实《中共中央办公厅国务院办公厅关于加强和改进殡葬服务管理工作的意见》及《殡葬管理条例》，</w:t>
      </w:r>
      <w:r>
        <w:rPr>
          <w:rFonts w:hint="eastAsia" w:ascii="仿宋_GB2312" w:hAnsi="仿宋_GB2312" w:eastAsia="仿宋_GB2312" w:cs="仿宋_GB2312"/>
          <w:sz w:val="32"/>
          <w:szCs w:val="32"/>
        </w:rPr>
        <w:t>坚持“公益为本、惠民优先、生态引领、规范管理”的原则，统筹推进殡葬事业转型升级。严格落实殡葬管理法规，健全殡葬服务制度，完善基本殡葬服务项目清单和收费标准，对清单内项目价格依法实行严格管理，确保群众享有公平可及的基本殡葬服务。规范发展殡葬非基础服务，</w:t>
      </w:r>
      <w:r>
        <w:rPr>
          <w:rFonts w:hint="eastAsia" w:ascii="仿宋_GB2312" w:hAnsi="仿宋_GB2312" w:eastAsia="仿宋_GB2312" w:cs="仿宋_GB2312"/>
          <w:kern w:val="0"/>
          <w:sz w:val="32"/>
          <w:szCs w:val="32"/>
          <w:lang w:bidi="ar"/>
        </w:rPr>
        <w:t>立足门头沟生态涵养区定位与山水资源禀赋，因地制宜探索打造特色殡葬服务和全生命文化品牌</w:t>
      </w:r>
      <w:r>
        <w:rPr>
          <w:rFonts w:hint="eastAsia" w:ascii="仿宋_GB2312" w:hAnsi="仿宋_GB2312" w:eastAsia="仿宋_GB2312" w:cs="仿宋_GB2312"/>
          <w:sz w:val="32"/>
          <w:szCs w:val="32"/>
        </w:rPr>
        <w:t>，形成“公益保障+多元补充”的殡葬产业格局，满足群众多样化、个性化需求。</w:t>
      </w:r>
      <w:r>
        <w:rPr>
          <w:rFonts w:hint="eastAsia" w:ascii="仿宋_GB2312" w:hAnsi="仿宋_GB2312" w:eastAsia="仿宋_GB2312" w:cs="仿宋_GB2312"/>
          <w:kern w:val="0"/>
          <w:sz w:val="32"/>
          <w:szCs w:val="32"/>
          <w:lang w:bidi="ar"/>
        </w:rPr>
        <w:t>实现殡葬服务机构工作人员、镇街殡葬工作者、红白理事会成员等宣传教育全覆盖。</w:t>
      </w:r>
      <w:r>
        <w:rPr>
          <w:rFonts w:hint="eastAsia" w:ascii="仿宋_GB2312" w:hAnsi="仿宋_GB2312" w:eastAsia="仿宋_GB2312" w:cs="仿宋_GB2312"/>
          <w:sz w:val="32"/>
          <w:szCs w:val="32"/>
        </w:rPr>
        <w:t>鼓励骨灰海葬、树葬、花坛葬等绿色安葬方式，倡导文明低碳祭扫新风尚，到2030年，我区节地生态安葬率达到80%，引导群众逐步转变传统安葬观念，厚植生态殡葬理念。</w:t>
      </w:r>
    </w:p>
    <w:p w14:paraId="544A533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推进殡仪馆迁建项目、天山陵园扩容项目</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，做好殡仪馆节能环保改造，推进火化设备节能更新和污染治理，推动建立生命文化教育基地。</w:t>
      </w:r>
      <w:r>
        <w:rPr>
          <w:rFonts w:hint="eastAsia" w:ascii="仿宋_GB2312" w:hAnsi="仿宋_GB2312" w:eastAsia="仿宋_GB2312" w:cs="仿宋_GB2312"/>
          <w:kern w:val="0"/>
          <w:sz w:val="32"/>
          <w:szCs w:val="32"/>
          <w:lang w:bidi="ar"/>
        </w:rPr>
        <w:t>扎实开展殡葬需求调研测算，摸清空间承载、人口结构与服务需求底数，</w:t>
      </w:r>
      <w:r>
        <w:rPr>
          <w:rFonts w:hint="eastAsia" w:ascii="仿宋_GB2312" w:hAnsi="仿宋_GB2312" w:eastAsia="仿宋_GB2312" w:cs="仿宋_GB2312"/>
          <w:sz w:val="32"/>
          <w:szCs w:val="32"/>
        </w:rPr>
        <w:t>结合门头沟区生态涵养区实际，科学规划城乡殡葬设施布局，推进区级公益性公墓续建项目、镇域公益性公墓建设或改造工程，推进骨灰廊、亭、墙建设，到2030年，我区公益性安葬设施服务覆盖率达到100%，逐步形成“城区集中、乡镇分布、生态融合”的殡葬服务格局。</w:t>
      </w:r>
    </w:p>
    <w:p w14:paraId="20AEADC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强化“逝、殡、葬、祭”全链条监管，</w:t>
      </w:r>
      <w:r>
        <w:rPr>
          <w:rFonts w:hint="eastAsia" w:ascii="仿宋_GB2312" w:hAnsi="仿宋_GB2312" w:eastAsia="仿宋_GB2312" w:cs="仿宋_GB2312"/>
          <w:sz w:val="32"/>
          <w:szCs w:val="32"/>
        </w:rPr>
        <w:t>落实市区两级跨部门综合监管机制，强化信息共享、线索转办与联合执法，确保监管高效落地。同步加强殡葬从业人员教育管理，营造规范有序、风清气正的殡葬服务环境。完善“互联网+殡葬服务”体系，开通线上预约、寄托、祭扫平台；落实全市96101殡葬服务专线机制，提升殡葬服务透明度与便利度。线上线下同步公示殡葬服务机构服务项目内容、收费标准和依据等要素，做到“应公示尽公示”。</w:t>
      </w:r>
    </w:p>
    <w:p w14:paraId="44AB98E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二、提升婚姻登记与家庭服务质量</w:t>
      </w:r>
    </w:p>
    <w:p w14:paraId="2C34321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健全婚姻登记标准化规范化体系建设，以标准化建设为核心，打造温馨高效登记空间，全面推进登记场所硬件升级与功能优化，升级区婚姻登记中心功能，打造集颁证、辅导、教育为一体的综合服务阵地，同步规范工作人员礼仪和业务流程。</w:t>
      </w:r>
    </w:p>
    <w:p w14:paraId="0B58480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婚姻登记便民服务体系建设，深度融入京西文化元素，形成具有“京西福地”特色的“婚登+”服务模式，开展“幸福京西”集体颁证活动，进一步丰富颁证服务内涵，满足新人个性化、纪念性的颁证需求。将婚姻家庭辅导作为常态化工作全面开展,探索建设区级婚姻家庭服务指导中心，合理配置婚姻家庭辅导师、社会工作师、律师、心理咨询师等专业人员，将婚姻家庭辅导服务向基层社区延伸。推行“一站式”集成服务模式，整合婚姻登记、结婚落户、婚检、婚育咨询等多项功能，为群众提供高效、便捷、全面的服务体验。</w:t>
      </w:r>
    </w:p>
    <w:p w14:paraId="1A8AC6B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推进婚俗改革工作落地见效，开展婚俗改革主题宣传、集体婚礼等系列活动，强化文明婚俗礼仪现场指导，积极引导新婚夫妇及广大群众树立婚事新办、喜事简办的文明理念。</w:t>
      </w:r>
      <w:r>
        <w:rPr>
          <w:rFonts w:hint="eastAsia" w:ascii="仿宋_GB2312" w:hAnsi="宋体" w:eastAsia="仿宋_GB2312" w:cs="仿宋_GB2312"/>
          <w:sz w:val="31"/>
          <w:szCs w:val="31"/>
        </w:rPr>
        <w:t>打造</w:t>
      </w:r>
      <w:r>
        <w:rPr>
          <w:rFonts w:hint="eastAsia" w:ascii="仿宋_GB2312" w:hAnsi="仿宋_GB2312" w:eastAsia="仿宋_GB2312" w:cs="仿宋_GB2312"/>
          <w:sz w:val="32"/>
          <w:szCs w:val="32"/>
        </w:rPr>
        <w:t>“婚登+”服务模式</w:t>
      </w:r>
      <w:r>
        <w:rPr>
          <w:rFonts w:hint="eastAsia" w:ascii="仿宋_GB2312" w:hAnsi="宋体" w:eastAsia="仿宋_GB2312" w:cs="仿宋_GB2312"/>
          <w:sz w:val="31"/>
          <w:szCs w:val="31"/>
        </w:rPr>
        <w:t>的户外登记点，形成</w:t>
      </w:r>
      <w:r>
        <w:rPr>
          <w:rFonts w:hint="eastAsia" w:ascii="仿宋_GB2312" w:hAnsi="宋体" w:eastAsia="仿宋_GB2312" w:cs="仿宋_GB2312"/>
          <w:sz w:val="31"/>
          <w:szCs w:val="31"/>
          <w:lang w:eastAsia="zh-CN"/>
        </w:rPr>
        <w:t>场景</w:t>
      </w:r>
      <w:r>
        <w:rPr>
          <w:rFonts w:hint="eastAsia" w:ascii="仿宋_GB2312" w:hAnsi="仿宋_GB2312" w:eastAsia="仿宋_GB2312" w:cs="仿宋_GB2312"/>
          <w:sz w:val="32"/>
          <w:szCs w:val="32"/>
        </w:rPr>
        <w:t>登记、特色颁证、婚俗引导为一体的婚姻登记新场景，激活区域“甜蜜经济”发展活力，推动形成简约适度、健康向上的婚俗新风尚。</w:t>
      </w:r>
    </w:p>
    <w:p w14:paraId="51B2DC3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三、完善见义勇为权益保护与关爱机制</w:t>
      </w:r>
    </w:p>
    <w:p w14:paraId="523ABD0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力弘扬社会正气，强化见义勇为行为激励与保障，全面实施见义勇为关爱行动计划，统筹推进各项权益保护与关爱工作落地。严格落实《门头沟区见义勇为评审小组工作制度》，做好见义勇为行为评审认定工作，提高确认评定的公信力和规范性，为后续权益保障、表彰宣传工作夯实基础。</w:t>
      </w:r>
    </w:p>
    <w:p w14:paraId="5619171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动落实《北京市见义勇为人员奖励和保护条例》，规范确认、奖励、抚恤、优待等各环节工作，构建宣传教育、奖励帮扶、文化传承“三位一体”的工作体系，全方位筑牢见义勇为人员保障防线。建立见义勇为人员关怀帮扶机制，目前我区被认定为见义勇为人员65人，定期开展探访慰问等活动，形成物质帮扶与精神激励并重的支持体系。</w:t>
      </w:r>
    </w:p>
    <w:p w14:paraId="2249923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托首都见义勇为基金会等平台，构建多元共建的保障格局。创新宣传方式，利用新媒体平台讲好京西见义勇为英雄故事，持续营造“人人向善、人人敢为”的社会氛围。同步建设见义勇为事迹档案与数字展示平台，完善事迹留存与宣传载体，打通文化传承与宣传教育衔接渠道。</w:t>
      </w:r>
    </w:p>
    <w:p w14:paraId="071B7307">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四、强化行业监管与安全保障</w:t>
      </w:r>
    </w:p>
    <w:p w14:paraId="516A370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区、镇街两级社会事务监管体系，完善联合执法与信用监管机制。严格殡葬领域经营性服务备案、项目公示、收费公开、公墓价格管理制度，防范高价服务、虚假宣传等违规行为。完善婚姻登记安全管理制度，强化服务对象信息保护和隐私保密措施。加强行业自律和从业人员培训，建立职业道德规范和服务行为标准，打造群众信赖的公共事务监督和服务队伍。</w:t>
      </w:r>
    </w:p>
    <w:p w14:paraId="585F76E9">
      <w:pPr>
        <w:spacing w:line="560" w:lineRule="exact"/>
        <w:rPr>
          <w:rFonts w:ascii="仿宋_GB2312" w:hAnsi="仿宋_GB2312" w:eastAsia="仿宋_GB2312" w:cs="仿宋_GB2312"/>
          <w:sz w:val="32"/>
          <w:szCs w:val="32"/>
        </w:rPr>
      </w:pPr>
    </w:p>
    <w:p w14:paraId="64F17AE1">
      <w:pPr>
        <w:spacing w:line="560" w:lineRule="exact"/>
        <w:jc w:val="center"/>
        <w:rPr>
          <w:rFonts w:ascii="黑体" w:hAnsi="黑体" w:eastAsia="黑体" w:cs="黑体"/>
          <w:sz w:val="36"/>
          <w:szCs w:val="36"/>
        </w:rPr>
      </w:pPr>
      <w:r>
        <w:rPr>
          <w:rFonts w:hint="eastAsia" w:ascii="黑体" w:hAnsi="黑体" w:eastAsia="黑体" w:cs="黑体"/>
          <w:sz w:val="36"/>
          <w:szCs w:val="36"/>
        </w:rPr>
        <w:t>第七部分 推进社会治理体系建设，激发社会活力</w:t>
      </w:r>
    </w:p>
    <w:p w14:paraId="73E8EF6A">
      <w:pPr>
        <w:spacing w:line="560" w:lineRule="exact"/>
        <w:jc w:val="center"/>
        <w:rPr>
          <w:rFonts w:ascii="黑体" w:hAnsi="黑体" w:eastAsia="黑体" w:cs="黑体"/>
          <w:sz w:val="36"/>
          <w:szCs w:val="36"/>
        </w:rPr>
      </w:pPr>
    </w:p>
    <w:p w14:paraId="46463F8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紧密围绕区域功能定位和绿色高质量转型发展主线,以提升社会治理现代化水平为目标，着力完善社会组织管理体制和支持政策，培育多元社会力量参与基层治理、公共服务和民生保障，推动慈善事业高质量发展，稳慎推进行政区划管理，构建活力充沛、协同高效、法治有序的社会治理新格局，持续增强社会凝聚力、创新力与自我调节能力。</w:t>
      </w:r>
    </w:p>
    <w:p w14:paraId="7CEA793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一、坚持培育发展并重，促进社会组织规范化发展</w:t>
      </w:r>
    </w:p>
    <w:p w14:paraId="48A8F71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深化党建与业务融合，</w:t>
      </w:r>
      <w:r>
        <w:rPr>
          <w:rFonts w:hint="eastAsia" w:ascii="仿宋_GB2312" w:hAnsi="仿宋_GB2312" w:eastAsia="仿宋_GB2312" w:cs="仿宋_GB2312"/>
          <w:sz w:val="32"/>
          <w:szCs w:val="32"/>
          <w:lang w:val="en"/>
        </w:rPr>
        <w:t>严格落实“三同步”“两纳入”要求，</w:t>
      </w:r>
      <w:r>
        <w:rPr>
          <w:rFonts w:hint="eastAsia" w:ascii="仿宋_GB2312" w:hAnsi="仿宋_GB2312" w:eastAsia="仿宋_GB2312" w:cs="仿宋_GB2312"/>
          <w:sz w:val="32"/>
          <w:szCs w:val="32"/>
        </w:rPr>
        <w:t>将党建工作纳入社会组织等级评估核心指标，</w:t>
      </w:r>
      <w:r>
        <w:rPr>
          <w:rFonts w:hint="eastAsia" w:ascii="仿宋_GB2312" w:hAnsi="仿宋_GB2312" w:eastAsia="仿宋_GB2312" w:cs="仿宋_GB2312"/>
          <w:sz w:val="32"/>
          <w:szCs w:val="32"/>
          <w:lang w:val="en"/>
        </w:rPr>
        <w:t>积极推进“双向进入、交叉任职”，充分发挥党组织的政治功能和组织功能</w:t>
      </w:r>
      <w:r>
        <w:rPr>
          <w:rFonts w:hint="eastAsia" w:ascii="仿宋_GB2312" w:hAnsi="仿宋_GB2312" w:eastAsia="仿宋_GB2312" w:cs="仿宋_GB2312"/>
          <w:sz w:val="32"/>
          <w:szCs w:val="32"/>
        </w:rPr>
        <w:t>，持续提升党的组织和工作覆盖质量。</w:t>
      </w:r>
    </w:p>
    <w:p w14:paraId="499534F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深化社会组织登记制度改革，加强对初创型社会组织的专业辅导，探索“一件事一次办”审批服务模式，优化登记流程和审批时限。发挥登记导向作用，</w:t>
      </w:r>
      <w:r>
        <w:rPr>
          <w:rFonts w:hint="eastAsia" w:ascii="仿宋_GB2312" w:hAnsi="仿宋_GB2312" w:eastAsia="仿宋_GB2312" w:cs="仿宋_GB2312"/>
          <w:kern w:val="0"/>
          <w:sz w:val="32"/>
          <w:szCs w:val="32"/>
          <w:lang w:bidi="ar"/>
        </w:rPr>
        <w:t>聚焦京西福地建设，重点培育发展生态保护、红色文化、非遗传承、科技服务</w:t>
      </w:r>
      <w:r>
        <w:rPr>
          <w:rFonts w:hint="eastAsia" w:ascii="仿宋_GB2312" w:hAnsi="仿宋_GB2312" w:eastAsia="仿宋_GB2312" w:cs="仿宋_GB2312"/>
          <w:kern w:val="0"/>
          <w:sz w:val="32"/>
          <w:szCs w:val="32"/>
          <w:lang w:eastAsia="zh-CN" w:bidi="ar"/>
        </w:rPr>
        <w:t>等类型</w:t>
      </w:r>
      <w:r>
        <w:rPr>
          <w:rFonts w:hint="eastAsia" w:ascii="仿宋_GB2312" w:hAnsi="仿宋_GB2312" w:eastAsia="仿宋_GB2312" w:cs="仿宋_GB2312"/>
          <w:kern w:val="0"/>
          <w:sz w:val="32"/>
          <w:szCs w:val="32"/>
          <w:lang w:bidi="ar"/>
        </w:rPr>
        <w:t>社会组织，打造具有门头沟特色的社会组织品牌矩阵。</w:t>
      </w:r>
    </w:p>
    <w:p w14:paraId="7AE6350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实施社会组织高质量发展行动计划，依托现有工作机制，推动建立社会组织分级培育与绩效评估制度，依托分级培育和精准评估体系，靶向培育优质社会组织，锚定2030年预期性指标稳步推进，推动信用优良的区级社会组织占比大于50%，筑牢社会组织规范发展、信用提质的工作基础。</w:t>
      </w:r>
    </w:p>
    <w:p w14:paraId="2E0D8E7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托社会组织发展管理协调机制，加强党建工作机构、登记管理机关、业务主管单位、行业管理部门协调配合，完善社会组织会商研判、信息共享、执法协助、线索移送机制，强化“年检+专项审计+实地核查”三维监管，提升联合执法效能。健全社会组织退出机制，持续推进“僵尸型社会组织”清理行动，确保社会组织结构健康、运行规范。</w:t>
      </w:r>
    </w:p>
    <w:p w14:paraId="547DA299">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二、提升社会组织参与基层治理与公共服务能力</w:t>
      </w:r>
    </w:p>
    <w:p w14:paraId="5E70FC1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引导全区社会组织深耕优势专业、打造特色品牌，深度融入基层治理、生态保护、红色文化传承、民生服务、山区建设、灾后恢复提升等重点工作，鼓励支持社会组织在养老服务、儿童关爱、助残帮扶、矛盾调解、应急救援等领域精准发力，多元式组团式为全区绿色高质量转型发展凝聚广泛社会力量、提供坚实支撑</w:t>
      </w:r>
      <w:r>
        <w:rPr>
          <w:rFonts w:hint="eastAsia" w:ascii="仿宋_GB2312" w:hAnsi="仿宋_GB2312" w:eastAsia="仿宋_GB2312" w:cs="仿宋_GB2312"/>
          <w:sz w:val="32"/>
          <w:szCs w:val="32"/>
        </w:rPr>
        <w:t>。</w:t>
      </w:r>
    </w:p>
    <w:p w14:paraId="2B132CA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社会组织助力基层治理提升行动”，通过政府购买服务，引导社会组织深度参与社区治理、应急救助、社区共建共治等重点工作。推动形成“社会组织+社会工作”良性互动，促进资源共享、力量互补、需求对接。加强社会组织专业人才培养，鼓励高校与社会组织共建实践基地，支持社会组织向基层延伸，提升社会服务专业化、规范化水平。</w:t>
      </w:r>
    </w:p>
    <w:p w14:paraId="5933DAA5">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三、加强慈善制度体系建设，规范公益慈善事业发展</w:t>
      </w:r>
    </w:p>
    <w:p w14:paraId="5230623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好《中华人民共和国慈善法》《北京市慈善事业促进条例》等法律法规，建立健全区级慈善事业统筹协调机制，构建“运行规范、富有活力、监管有效、作用彰显”的慈善事业发展新格局，推动慈善资源与区域绿色高质量转型发展同频共振。</w:t>
      </w:r>
    </w:p>
    <w:p w14:paraId="2ECDA6F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全面对标新修订慈善法要求，系统梳理完善区级慈善工作制度。建立健全慈优化慈善组织认定、监管与服务机制，推动区慈善协会、红十字会等平台协同联动，形成“慈善+救助+服务”深度融合格局。</w:t>
      </w:r>
    </w:p>
    <w:p w14:paraId="1736564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基层慈善网络建设，完善“镇街—村居”两级慈善体系，推动慈善资源向镇街、村居拓展，加强基层慈善站点“一站多能”建设，到2030年，实现镇街慈善工作站全覆盖。打造“慈善工作站”服务联合体；推动慈善组织与社会工作服务站、镇街养老服务中心等结对运营，细化“社区慈善基金”应用清单，开展“银龄守护”等助老惠老行动。</w:t>
      </w:r>
    </w:p>
    <w:p w14:paraId="2027F9A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构建多元捐赠渠道矩阵，简化捐赠流程，探索“一键捐”等方式，联动市级互联网募捐平台开设专项捐赠渠道，在政务服务大厅、养老驿站等场所设立捐赠点，试点“慈善积分”和“志愿积分”联动并开展兑换民生保障服务试点，创新“慈善+生态”特色模式，推出“生态认养”“公益治理”等绿色捐赠项目，拓宽社会力量参与生态涵养区建设路径。</w:t>
      </w:r>
    </w:p>
    <w:p w14:paraId="7CEFD1B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建立应急慈善响应长效机制，将慈善组织纳入区域应急体系；设立区级“慈善应急基金”，推广“社区基金+应急慈善”模式，实现突发公共自然灾害救助及时响应，</w:t>
      </w:r>
    </w:p>
    <w:p w14:paraId="1456521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四、宣传慈善文化，推动慈善事业健康发展</w:t>
      </w:r>
    </w:p>
    <w:p w14:paraId="79519A31">
      <w:pPr>
        <w:spacing w:line="560" w:lineRule="exact"/>
        <w:ind w:firstLine="640" w:firstLineChars="200"/>
        <w:rPr>
          <w:rFonts w:hint="eastAsia" w:ascii="黑体" w:hAnsi="黑体" w:eastAsia="仿宋_GB2312" w:cs="黑体"/>
          <w:sz w:val="32"/>
          <w:szCs w:val="32"/>
          <w:lang w:eastAsia="zh-CN"/>
        </w:rPr>
      </w:pPr>
      <w:r>
        <w:rPr>
          <w:rFonts w:hint="eastAsia" w:ascii="仿宋_GB2312" w:hAnsi="仿宋_GB2312" w:eastAsia="仿宋_GB2312" w:cs="仿宋_GB2312"/>
          <w:sz w:val="32"/>
          <w:szCs w:val="32"/>
        </w:rPr>
        <w:t>开展“京西福地”慈善品牌建设行动，打造“京西福地 京西善行”慈善品牌，推广“耆乐融融”等公益项目模式。深化“9・5中华慈善日”品牌效应，开展“慈善月”和“敬老月”联合活动，常态化推进慈善文化“五进”活动，扩大慈善活动社会参与面。修订推广《中小学生慈善公益手册》，构建“空间建设+实践活动+精准助学”三位一体慈善育人体系。开展“慈善讲堂”，将慈善法规纳入日常培训计划；举办公益慈善创享会和“京西慈善</w:t>
      </w:r>
      <w:r>
        <w:rPr>
          <w:rFonts w:hint="eastAsia" w:ascii="仿宋_GB2312" w:hAnsi="仿宋_GB2312" w:eastAsia="仿宋_GB2312" w:cs="仿宋_GB2312"/>
          <w:sz w:val="32"/>
          <w:szCs w:val="32"/>
          <w:lang w:eastAsia="zh-CN"/>
        </w:rPr>
        <w:t>行</w:t>
      </w:r>
      <w:r>
        <w:rPr>
          <w:rFonts w:hint="eastAsia" w:ascii="仿宋_GB2312" w:hAnsi="仿宋_GB2312" w:eastAsia="仿宋_GB2312" w:cs="仿宋_GB2312"/>
          <w:sz w:val="32"/>
          <w:szCs w:val="32"/>
        </w:rPr>
        <w:t>”等活动，推动有意愿的企业设立专项慈善基金；推广“公益市集”捐赠模式，在村居开展公益助老服务体验活动；通过亲子公益实践、家风故事征集等方式宣传慈善理念。选树慈善先进典型，联动社会力量共建公益联盟。探索打造慈善公园、慈善广场等大众化慈善载体，开展慈善村居创建，推动慈善理念深入人心。</w:t>
      </w:r>
      <w:r>
        <w:rPr>
          <w:rFonts w:hint="eastAsia" w:ascii="仿宋_GB2312" w:hAnsi="仿宋_GB2312" w:eastAsia="仿宋_GB2312" w:cs="仿宋_GB2312"/>
          <w:sz w:val="32"/>
          <w:szCs w:val="32"/>
          <w:lang w:eastAsia="zh-CN"/>
        </w:rPr>
        <w:t>加强慈善资金监管，对照新修订《慈善法》梳理现有制度，实现款物全流程追溯，优化社区公益基金管理办法，提升资金使用效能。</w:t>
      </w:r>
    </w:p>
    <w:p w14:paraId="2A3D3619">
      <w:pPr>
        <w:spacing w:line="560" w:lineRule="exact"/>
        <w:ind w:left="420" w:leftChars="200" w:firstLine="320" w:firstLineChars="100"/>
        <w:rPr>
          <w:rFonts w:ascii="黑体" w:hAnsi="黑体" w:eastAsia="黑体" w:cs="黑体"/>
          <w:sz w:val="32"/>
          <w:szCs w:val="32"/>
        </w:rPr>
      </w:pPr>
      <w:r>
        <w:rPr>
          <w:rFonts w:hint="eastAsia" w:ascii="黑体" w:hAnsi="黑体" w:eastAsia="黑体" w:cs="黑体"/>
          <w:sz w:val="32"/>
          <w:szCs w:val="32"/>
        </w:rPr>
        <w:t>五、积极稳妥推进行政区划管理</w:t>
      </w:r>
    </w:p>
    <w:p w14:paraId="2047DB2E">
      <w:pPr>
        <w:pBdr>
          <w:bottom w:val="single" w:color="FFFFFF" w:sz="4" w:space="31"/>
        </w:pBdr>
        <w:tabs>
          <w:tab w:val="left" w:pos="1440"/>
        </w:tabs>
        <w:overflowPunct w:val="0"/>
        <w:adjustRightInd w:val="0"/>
        <w:snapToGrid w:val="0"/>
        <w:spacing w:line="58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加强党对行政区划工作的领导，坚持统筹规划、科学审慎、稳妥有序原则，结合门头沟区绿色高质量转型发展的基层治理需要，依法依规推进行政区划调整工作。严格落实行政区划调整工作程序，加强与市级部门沟通对接，完善调整方案和工作流程。注重历史文化传承与保护，落实行政区划调整过程中历史文化专项评估和</w:t>
      </w:r>
      <w:r>
        <w:rPr>
          <w:rFonts w:hint="eastAsia" w:ascii="仿宋_GB2312" w:hAnsi="仿宋_GB2312" w:eastAsia="仿宋_GB2312" w:cs="仿宋_GB2312"/>
          <w:kern w:val="0"/>
          <w:sz w:val="32"/>
          <w:szCs w:val="32"/>
          <w:lang w:bidi="ar"/>
        </w:rPr>
        <w:t>实施成效综合评估机制。严格按照全区统一部署，扎实做好村（社区）“两委”换届相关配合保障工作，夯实基层治理组织基础</w:t>
      </w:r>
      <w:r>
        <w:rPr>
          <w:rFonts w:ascii="仿宋_GB2312" w:hAnsi="仿宋_GB2312" w:eastAsia="仿宋_GB2312" w:cs="仿宋_GB2312"/>
          <w:kern w:val="0"/>
          <w:sz w:val="32"/>
          <w:szCs w:val="32"/>
          <w:lang w:bidi="ar"/>
        </w:rPr>
        <w:t>。</w:t>
      </w:r>
    </w:p>
    <w:p w14:paraId="3F210F7D">
      <w:pPr>
        <w:pBdr>
          <w:bottom w:val="single" w:color="FFFFFF" w:sz="4" w:space="31"/>
        </w:pBdr>
        <w:tabs>
          <w:tab w:val="left" w:pos="1440"/>
        </w:tabs>
        <w:overflowPunct w:val="0"/>
        <w:adjustRightInd w:val="0"/>
        <w:snapToGrid w:val="0"/>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推进“平安边界”信息化建设，加强与丰台、石景山、涞水县等毗邻区县协作，做好省、区级界线联检工作，维护边界平安稳定。开展行政区划动态监测，规范镇街政府驻地迁移管理。充分发挥行政区划在优化空间布局、促进资源要素配置中的基础性作用，为区域高质量发展提供支撑。</w:t>
      </w:r>
      <w:r>
        <w:rPr>
          <w:rFonts w:hint="eastAsia" w:ascii="仿宋_GB2312" w:hAnsi="仿宋_GB2312" w:eastAsia="仿宋_GB2312" w:cs="仿宋_GB2312"/>
          <w:sz w:val="32"/>
          <w:szCs w:val="32"/>
          <w:lang w:eastAsia="zh-CN"/>
        </w:rPr>
        <w:t>探索界线数智化管理，聚焦行政区划界桩管护、界线监管等领域，深化数字技术融合应用。</w:t>
      </w:r>
    </w:p>
    <w:p w14:paraId="1AF47F49">
      <w:pPr>
        <w:spacing w:line="560" w:lineRule="exact"/>
        <w:jc w:val="center"/>
        <w:rPr>
          <w:rFonts w:ascii="黑体" w:hAnsi="黑体" w:eastAsia="黑体" w:cs="黑体"/>
          <w:sz w:val="36"/>
          <w:szCs w:val="36"/>
        </w:rPr>
      </w:pPr>
      <w:r>
        <w:rPr>
          <w:rFonts w:hint="eastAsia" w:ascii="黑体" w:hAnsi="黑体" w:eastAsia="黑体" w:cs="黑体"/>
          <w:sz w:val="36"/>
          <w:szCs w:val="36"/>
        </w:rPr>
        <w:t>第八部分 保障红十字事业稳健有序发展</w:t>
      </w:r>
    </w:p>
    <w:p w14:paraId="08D0CF4C">
      <w:pPr>
        <w:spacing w:line="560" w:lineRule="exact"/>
        <w:jc w:val="center"/>
        <w:rPr>
          <w:rFonts w:ascii="黑体" w:hAnsi="黑体" w:eastAsia="黑体" w:cs="黑体"/>
          <w:sz w:val="36"/>
          <w:szCs w:val="36"/>
        </w:rPr>
      </w:pPr>
    </w:p>
    <w:p w14:paraId="55034B8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深入贯彻落实习近平总书记关于红十字事业重要指示批示精神，紧紧围绕服务区域发展大局和人民群众人道需求，聚焦主责主业，深化改革创新，夯实工作基础，着力提升人道服务水平、人道救助能力，推动门头沟区红十字事业在“十五五”时期实现更高质量、更有效率、更可持续的发展。</w:t>
      </w:r>
    </w:p>
    <w:p w14:paraId="4ADD3268">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一、健全应急救援体系，提升救助响应能力</w:t>
      </w:r>
    </w:p>
    <w:p w14:paraId="74CFEE1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红十字系统赈济救援工作，强化部门协作与社会动员，形成统一指挥、反应灵敏、协调有序、运转高效的应急响应格局。加强红十字应急救援队伍规范化建设，强化山地搜救等专业训练和实战演练，提升极端天气和突发灾害条件下的协同作战能力。引导志愿服务队及社会志愿者依法有序参与红十字应急救援工作，逐步构建专兼结合、覆盖城乡的红十字应急救援力量体系。</w:t>
      </w:r>
    </w:p>
    <w:p w14:paraId="0931766E">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二、深化应急救护培训，夯实公众生命防线</w:t>
      </w:r>
    </w:p>
    <w:p w14:paraId="5E04CB6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门头沟区山区地理特征和人口分布实际，持续推进应急救护知识普及和技能培训“进机关、进企业、进学校、进社区、进农村”。优化应急救护培训课程设置，扩大取证培训覆盖面，到“十五五”末，累计新增应急救护取证人员不少于5000人次。不断充实应急救护人员储备。健全应急救护培训师资库动态管理机制，加强师资队伍业务能力培训，打造一支结构合理、素质优良、相对稳定的红十字救护师资队伍。鼓励支持有条件的镇街、学校、景区建设红十字救护站（点），织密织牢公众生命安全保障网。</w:t>
      </w:r>
    </w:p>
    <w:p w14:paraId="61DF309A">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三、深入开展人道救助，擦亮“博爱在京西”品牌</w:t>
      </w:r>
    </w:p>
    <w:p w14:paraId="3E02D3F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法依规开展常态化募捐和应急募捐，拓宽线上线下筹资渠道，做大做强红十字人道救助资金盘子。坚持“博爱在京城”品牌引领，精心策划实施助困、助老等精准救助项目，每年实施不少于2个精准人道救助项目，确保捐赠款物及时足额、公平公正地用到最需要帮助的群众身上。深入推进信息公开，持续提升“红透指数”建设水平，定期向社会公布捐赠款物接收和使用情况，主动接受审计监督、社会监督和舆论监督，切实增强红十字会的公信力和透明度。</w:t>
      </w:r>
    </w:p>
    <w:p w14:paraId="734AFEF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四、扎实推进“三献”工作，传递生命关爱理念</w:t>
      </w:r>
    </w:p>
    <w:p w14:paraId="2EB7151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大造血干细胞捐献宣传动员力度，稳步提高有效库容和捐献成功率。依法稳妥推进遗体和人体器官（组织）捐献工作，加强与卫健部门等机构的协调联动，形成齐抓共管的“三献”工作格局，每年组织开展“三献”主题宣传不少于1场，深入挖掘宣传成功捐献典型事迹，讲好红十字生命接力故事，引领社会形成尊重捐献、崇尚奉献的良好风尚。</w:t>
      </w:r>
    </w:p>
    <w:p w14:paraId="73D4E49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五、弘扬红十字文化，凝聚向上向善力量</w:t>
      </w:r>
    </w:p>
    <w:p w14:paraId="3FD597A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紧扣世界红十字日、全国防灾减灾日、世界急救日、世界骨髓捐献者日等重要时间节点，精心策划开展形式多样、内容丰富的“三救三献”主题宣传活动。推动红十字文化融入文明城区创建、新时代文明实践中心建设和基层社会治理，广泛传播“人道、博爱、奉献”的红十字精神。加强与宣传部门、融媒体中心合作，用好政务新媒体和社会传播资源，讲好门头沟红十字故事，持续弘扬正能量、引领新风尚。</w:t>
      </w:r>
    </w:p>
    <w:p w14:paraId="7BDEC004">
      <w:pPr>
        <w:spacing w:line="560" w:lineRule="exact"/>
        <w:ind w:firstLine="640" w:firstLineChars="200"/>
        <w:rPr>
          <w:rFonts w:ascii="仿宋_GB2312" w:hAnsi="仿宋_GB2312" w:eastAsia="仿宋_GB2312" w:cs="仿宋_GB2312"/>
          <w:sz w:val="32"/>
          <w:szCs w:val="32"/>
        </w:rPr>
      </w:pPr>
    </w:p>
    <w:p w14:paraId="5458484A">
      <w:pPr>
        <w:spacing w:line="560" w:lineRule="exact"/>
        <w:jc w:val="center"/>
        <w:rPr>
          <w:rFonts w:ascii="黑体" w:hAnsi="黑体" w:eastAsia="黑体" w:cs="黑体"/>
          <w:sz w:val="36"/>
          <w:szCs w:val="36"/>
        </w:rPr>
      </w:pPr>
      <w:r>
        <w:rPr>
          <w:rFonts w:hint="eastAsia" w:ascii="黑体" w:hAnsi="黑体" w:eastAsia="黑体" w:cs="黑体"/>
          <w:sz w:val="36"/>
          <w:szCs w:val="36"/>
        </w:rPr>
        <w:t>第九部分 持续推进京津冀民政事业协同发展</w:t>
      </w:r>
    </w:p>
    <w:p w14:paraId="01B1B418">
      <w:pPr>
        <w:spacing w:line="560" w:lineRule="exact"/>
        <w:jc w:val="center"/>
        <w:rPr>
          <w:rFonts w:ascii="黑体" w:hAnsi="黑体" w:eastAsia="黑体" w:cs="黑体"/>
          <w:sz w:val="36"/>
          <w:szCs w:val="36"/>
        </w:rPr>
      </w:pPr>
    </w:p>
    <w:p w14:paraId="314BCFE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立足首都城市战略功能定位，充分发挥门头沟区在京津冀协同发展战略中的区位优势和生态涵养功能，聚焦养老服务、社会救助、社会事务、社会治理等民政重点领域，强化统筹协调与机制创新，积极打造京西民政协同发展示范区。以政策协同、项目联动、标准互通、资源共享为抓手，不断提升跨区域公共服务共建共享水平，使协同发展成果更多惠及民生福祉。</w:t>
      </w:r>
    </w:p>
    <w:p w14:paraId="54A30F08">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一、深化养老服务协同发展，打造区域融合新样板</w:t>
      </w:r>
    </w:p>
    <w:p w14:paraId="577A795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政府引导、市场运作、同质同标、资源共享”的原则，持续推进京津冀养老服务协同机制建设。强化与河北省怀来、涿州、涞水等环京西地区养老资源对接，探索建立跨区域养老信息共享平台和服务协作机制。推动养老机构合作共建，鼓励门头沟区优质养老服务机构在周边地区设立分支或合作点，推动形成“北京服务、京冀承接”的功能互补格局。共同开展老年照护职业技能培训与护理员交流计划，探索建立养老护理员跨区域互认制度。依托“京西福地”品牌定位，规划一批京冀协同康养示范项目，推动形成“机构互补、服务互通、康养融合”的区域发展格局。</w:t>
      </w:r>
    </w:p>
    <w:p w14:paraId="19E33F0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二、推进社会救助协同联动，形成跨界兜底保障体系</w:t>
      </w:r>
    </w:p>
    <w:p w14:paraId="6BA63DC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京津冀社会救助联动工作机制，推动信息、资金、资源共享。依托北京市低收入人口动态监测平台，探索建立跨区域困难群体信息互查机制，实现数据互通与救助衔接。推动“救急难”工作跨区联动，建立健全临时遇困人员应急救助协作机制，畅通流浪乞讨人员跨区转介和安置渠道。联合开展救助服务标准化建设、应急处置演练和联合检查，提升应对突发困难群体事件的协同处置能力。支持慈善组织、社会力量跨区参与救助帮扶项目，推广“民政主导、慈善协同、社会参与”的救助共治模式，形成区域联动的社会兜底安全网。</w:t>
      </w:r>
    </w:p>
    <w:p w14:paraId="37424C53">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三、加强社会事务协同管理，推动公共服务共建共享</w:t>
      </w:r>
    </w:p>
    <w:p w14:paraId="5C163F9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群众需求为导向，持续推进婚姻登记、殡葬服务、儿童福利等社会事务协同发展。加强与天津、河北民政部门的协调对接，实现数据互联、证件互认、服务互通，推广婚姻家庭辅导、婚姻法律知识辅导等服务经验。持续深化殡葬服务协同，推动跨区域节地生态安葬示范区建设，共享殡葬服务信息、设施资源和环境保护标准。联合推进骨灰撒海、公祭活动等公益性服务项目，形成共建共享、文明低碳的殡葬服务体系。推动儿童福利领域政策互认与服务衔接，加强流动儿童、事实无人抚养儿童信息协作与保护机制建设。</w:t>
      </w:r>
    </w:p>
    <w:p w14:paraId="65852E1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四、推动社会治理协同创新，增强区域共治合力</w:t>
      </w:r>
    </w:p>
    <w:p w14:paraId="35B8D5C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探索建立京津冀社会组织信息共享机制与信用互认体系。鼓励社会组织跨区域合作，在养老、助残、慈善、社会治理等领域联合实施服务项目。依托门头沟</w:t>
      </w:r>
      <w:r>
        <w:rPr>
          <w:rFonts w:hint="eastAsia" w:ascii="仿宋_GB2312" w:hAnsi="仿宋_GB2312" w:eastAsia="仿宋_GB2312" w:cs="仿宋_GB2312"/>
          <w:sz w:val="32"/>
          <w:szCs w:val="32"/>
          <w:lang w:eastAsia="zh-CN"/>
        </w:rPr>
        <w:t>区级资源平台</w:t>
      </w:r>
      <w:r>
        <w:rPr>
          <w:rFonts w:hint="eastAsia" w:ascii="仿宋_GB2312" w:hAnsi="仿宋_GB2312" w:eastAsia="仿宋_GB2312" w:cs="仿宋_GB2312"/>
          <w:sz w:val="32"/>
          <w:szCs w:val="32"/>
        </w:rPr>
        <w:t>，举办交流活动，促进经验共享与品牌共建。推动慈善资源区域协同，建立跨区域慈善项目推介与资源对接机制，鼓励京津冀慈善组织联合发起公益项目。推动志愿服务联动，建立区域志愿服务资源库，实现志愿者信用互认与时长互通。深化基层社会治理合作，推动共建“京西社会治理创新圈”，探索社会组织、社工、志愿者、慈善四维融合的京冀共治模式。</w:t>
      </w:r>
    </w:p>
    <w:p w14:paraId="62C9B2DB">
      <w:pPr>
        <w:spacing w:line="560" w:lineRule="exact"/>
        <w:ind w:firstLine="640" w:firstLineChars="200"/>
        <w:rPr>
          <w:rFonts w:ascii="楷体_GB2312" w:hAnsi="楷体_GB2312" w:eastAsia="楷体_GB2312" w:cs="楷体_GB2312"/>
          <w:sz w:val="32"/>
          <w:szCs w:val="32"/>
        </w:rPr>
      </w:pPr>
    </w:p>
    <w:p w14:paraId="01D2E19B">
      <w:pPr>
        <w:spacing w:line="560" w:lineRule="exact"/>
        <w:jc w:val="center"/>
        <w:rPr>
          <w:rFonts w:ascii="黑体" w:hAnsi="黑体" w:eastAsia="黑体" w:cs="黑体"/>
          <w:sz w:val="36"/>
          <w:szCs w:val="36"/>
        </w:rPr>
      </w:pPr>
      <w:r>
        <w:rPr>
          <w:rFonts w:hint="eastAsia" w:ascii="黑体" w:hAnsi="黑体" w:eastAsia="黑体" w:cs="黑体"/>
          <w:sz w:val="36"/>
          <w:szCs w:val="36"/>
        </w:rPr>
        <w:t>第十部分 保障措施</w:t>
      </w:r>
    </w:p>
    <w:p w14:paraId="646C2745">
      <w:pPr>
        <w:spacing w:line="560" w:lineRule="exact"/>
        <w:jc w:val="center"/>
        <w:rPr>
          <w:rFonts w:ascii="黑体" w:hAnsi="黑体" w:eastAsia="黑体" w:cs="黑体"/>
          <w:sz w:val="36"/>
          <w:szCs w:val="36"/>
        </w:rPr>
      </w:pPr>
    </w:p>
    <w:p w14:paraId="2895AD0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为确保“十五五”时期门头沟区民政事业高质量发展各项目标任务落地见效，必须坚持党建</w:t>
      </w:r>
      <w:r>
        <w:rPr>
          <w:rFonts w:hint="eastAsia" w:ascii="仿宋_GB2312" w:hAnsi="仿宋_GB2312" w:eastAsia="仿宋_GB2312" w:cs="仿宋_GB2312"/>
          <w:sz w:val="32"/>
          <w:szCs w:val="32"/>
          <w:lang w:eastAsia="zh-CN"/>
        </w:rPr>
        <w:t>引</w:t>
      </w:r>
      <w:r>
        <w:rPr>
          <w:rFonts w:hint="eastAsia" w:ascii="仿宋_GB2312" w:hAnsi="仿宋_GB2312" w:eastAsia="仿宋_GB2312" w:cs="仿宋_GB2312"/>
          <w:sz w:val="32"/>
          <w:szCs w:val="32"/>
        </w:rPr>
        <w:t>领、依法行政、科技赋能、人才支撑、资金保障、安全底线“七位一体”的综合保障体系，强化统筹协调和系统推进，构建高效运行、风险可控、保障有力的现代化民政支撑体系。</w:t>
      </w:r>
    </w:p>
    <w:p w14:paraId="6F6DBB1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一、坚持党对民政工作的全面领导</w:t>
      </w:r>
    </w:p>
    <w:p w14:paraId="4EC7092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始终把党的政治建设摆在首位，深入学习贯彻习近平新时代中国特色社会主义思想，全面落实习近平总书记关于北京工作、民政工作的重要论述精神。牢固树立“看北京首先要从政治上看”的意识，严格做到“两个维护”，不断提升政治判断力、政治领悟力和政治执行力。强化规划实施的组织领导，将规划落实纳入区委区政府重点工作调度机制。区民政局作为牵头部门，细化目标任务分解表，实行项目化推进、清单化管理、责任化考核。健全规划评估制度，定期开展年度监测、中期评估和终期总结，动态调整重点任务，确保规划执行闭环运行。</w:t>
      </w:r>
    </w:p>
    <w:p w14:paraId="4EDC9FF7">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融入区域发展大局，彰显幸福民政底色</w:t>
      </w:r>
    </w:p>
    <w:p w14:paraId="292A8250">
      <w:pPr>
        <w:spacing w:line="560" w:lineRule="exact"/>
        <w:ind w:firstLine="640" w:firstLineChars="200"/>
        <w:rPr>
          <w:rFonts w:ascii="黑体" w:hAnsi="黑体" w:eastAsia="仿宋_GB2312" w:cs="黑体"/>
          <w:sz w:val="32"/>
          <w:szCs w:val="32"/>
        </w:rPr>
      </w:pPr>
      <w:r>
        <w:rPr>
          <w:rFonts w:hint="eastAsia" w:ascii="仿宋_GB2312" w:hAnsi="仿宋_GB2312" w:eastAsia="仿宋_GB2312" w:cs="仿宋_GB2312"/>
          <w:sz w:val="32"/>
          <w:szCs w:val="32"/>
        </w:rPr>
        <w:t>聚焦全区中心工作，服务地区加速转型发展大局。坚持“让老区人民过上好日子”根本目标，在“生态立区、文化兴区、科技强区”发展战略中找准民政工作定位思路。强化生态发展与民生融合，依托“两园一河”战略，推动生态资源转化为民政服务场景；深化文化赋能民生服务，将门头沟红色文化、“灵水八德”等精神内核嵌入社会治理板块；科技赋能智慧民生，探索“人工智能+”联动“京西福地门头沟”区域品牌建设，提升民生服务效能。推动山区、城区、园区民政服务一体化发展，促进民政服务均衡。加大对山区民政服务设施建设投入，改善山区养老、救助等服务条件；在城区鼓励综合性、高品质民政服务加大供给；结合园区发展需求提供便捷民政服务，构建全周期民生保障格局。</w:t>
      </w:r>
    </w:p>
    <w:p w14:paraId="1CC503B5">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三、提升民政事业人才培育水平</w:t>
      </w:r>
    </w:p>
    <w:p w14:paraId="64982AE3">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优化民政专业人才培养体系。构建区、镇街、养老服务机构三级培训网络。区级层面重点开展养老护理员职业技能培训和能力提升培训，镇街层面重点开展居家照护人员技能培训，养老服务机构层面重点开展新入职人员岗前培训和日常技能提升培训。联合人社、教育部门，鼓励本地劳动力参加养老护理培训并入职。创新培养模式。推广“工学结合”模式，与专业学校签订战略合作协议，让学生在学习期间就到养老机构实习实践。提高人才使用效率。根据民政服务机构规模和服务需求，科学核定岗位设置，根据功能定位设置相应的管理岗位和专业技术岗位；完善用人机制，全面推行岗位责任制，明确岗位职责和任职要求，实行公开招聘、竞争上岗，推动人才在不同机构间流动，实现资源共享。持续举办“四季青杯”区级选拔赛，以赛促学、以赛促练。每年组织开展养老护理员、老年人能力评估师、老年社工等职业技能培训不少于300人次。到2027年，实现养老机构负责人培训全覆盖。强化技能评价与激励机制。推动养老护理员、社会工作师、殡葬服务人员等纳入区级技能人才目录；完善薪酬体系与荣誉激励。建立与市场接轨的薪酬体系，建立正常的工资增长机制；每年选树“最美养老护理员”，积极参加”民政榜样”等宣传活动，加强舆论宣传，提高社会对民政职业人才的认知度和认可度。</w:t>
      </w:r>
    </w:p>
    <w:p w14:paraId="4CA4E10E">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四、深入推进法治民政建设</w:t>
      </w:r>
    </w:p>
    <w:p w14:paraId="2D36928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法治化保障民政事业高质量发展。健全立法统筹与法制审查机制，积极配合推进养老服务、社会救助、慈善、殡葬等重点领域地方立法研究和政策修订，完善制度体系支撑。严格执行重大行政决策程序，落实行政执法“三项制度”，完善行政许可、行政检查、行政处罚全过程规范管理。深化“执法+普法+服务”融合模式，推进民政执法公开透明、依法高效。加强法治宣传教育，完善民政干部学法制度，建立法规政策应知应会清单。强化基层民政法治宣讲和政策解读，推动法治理念深入民政工作全领域全过程。完善标准体系建设，积极参与养老、助残、慈善等民政标准制定修订，构建科学完备、衔接顺畅的标准化管理体系。</w:t>
      </w:r>
    </w:p>
    <w:p w14:paraId="6D8B9DB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五、加快推进数字民政赋能</w:t>
      </w:r>
    </w:p>
    <w:p w14:paraId="0186B65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数字赋能、数据驱动、智能协同”，加快推动民政业务全面数字化转型。全面探索“人工智能+”行动，加强人工智能同养老服务、社会救助、社会福利、社会服务、社会治理体系相结合。推进政务服务智能化、精准化改革，完善民政服务事项“一窗受理、一网通办”，提高政务办理便利度。深化“民政数据中台”建设，落实首席数据官制度，加强数据共享安全管理。探索人工智能、大模型、物联网等新技术在养老监测、康养服务、社会组织监管等领域的应用场景，建设民政风险预警与运行监测系统。推动“信用+监管+服务”机制落地，实现民政管理从“事后监管”向“事前预警、全程协同”转变。</w:t>
      </w:r>
    </w:p>
    <w:p w14:paraId="6943EA12">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六、加强资金投入与设施保障</w:t>
      </w:r>
    </w:p>
    <w:p w14:paraId="5F60ED2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健全民政事业资金多元投入机制，坚持“政府主导、社会协同、市场补充”。强化财政支出保障，积极争取中央转移支付、上级专项资金和社会资本投入。优化民政资金支出结构，落实项目绩效管理制度，完善预算储备与动态调整机制。推动彩票公益金、慈善资金、社会资本协同用于养老、救助、康复辅助器具等重点领域。深化“零基预算+绩效评估”管理改革，全面实施事前绩效论证，提升财政资金使用效率。统筹推进区域养老服务中心、社区驿站、儿童福利机构、公益性公墓等设施建设。加快解决</w:t>
      </w:r>
      <w:r>
        <w:rPr>
          <w:rFonts w:hint="eastAsia" w:ascii="仿宋_GB2312" w:hAnsi="仿宋_GB2312" w:eastAsia="仿宋_GB2312" w:cs="仿宋_GB2312"/>
          <w:sz w:val="32"/>
          <w:szCs w:val="32"/>
          <w:lang w:eastAsia="zh-CN"/>
        </w:rPr>
        <w:t>部分</w:t>
      </w:r>
      <w:r>
        <w:rPr>
          <w:rFonts w:hint="eastAsia" w:ascii="仿宋_GB2312" w:hAnsi="仿宋_GB2312" w:eastAsia="仿宋_GB2312" w:cs="仿宋_GB2312"/>
          <w:sz w:val="32"/>
          <w:szCs w:val="32"/>
        </w:rPr>
        <w:t>民政设施权属不清、空间不足、功能</w:t>
      </w:r>
      <w:r>
        <w:rPr>
          <w:rFonts w:hint="eastAsia" w:ascii="仿宋_GB2312" w:hAnsi="仿宋_GB2312" w:eastAsia="仿宋_GB2312" w:cs="仿宋_GB2312"/>
          <w:sz w:val="32"/>
          <w:szCs w:val="32"/>
          <w:lang w:eastAsia="zh-CN"/>
        </w:rPr>
        <w:t>不匹配</w:t>
      </w:r>
      <w:r>
        <w:rPr>
          <w:rFonts w:hint="eastAsia" w:ascii="仿宋_GB2312" w:hAnsi="仿宋_GB2312" w:eastAsia="仿宋_GB2312" w:cs="仿宋_GB2312"/>
          <w:sz w:val="32"/>
          <w:szCs w:val="32"/>
        </w:rPr>
        <w:t>的问题。健全设施管理制度，加强安全巡查与维修改造，构建结构合理、功能完备、运行高效的民政基础设施体系。</w:t>
      </w:r>
    </w:p>
    <w:p w14:paraId="71F4E05B">
      <w:pPr>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七、守牢安全与风险防控</w:t>
      </w:r>
      <w:r>
        <w:rPr>
          <w:rFonts w:hint="eastAsia" w:ascii="黑体" w:hAnsi="黑体" w:eastAsia="黑体" w:cs="黑体"/>
          <w:sz w:val="32"/>
          <w:szCs w:val="32"/>
          <w:lang w:eastAsia="zh-CN"/>
        </w:rPr>
        <w:t>底线</w:t>
      </w:r>
    </w:p>
    <w:p w14:paraId="7C5632B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牢固树立“人民至上、生命至上”理念，把安全发展贯穿民政事业全过程。压实“党政同责、一岗双责、齐抓共管”责任体系，建立安全生产与应急管理长效机制。深入推进安全隐患排查整治，重点加强养老机构、福利机构、殡葬设施、婚姻登记场所等重点领域安全管理。完善“一</w:t>
      </w:r>
      <w:r>
        <w:rPr>
          <w:rFonts w:hint="eastAsia" w:ascii="仿宋_GB2312" w:hAnsi="仿宋_GB2312" w:eastAsia="仿宋_GB2312" w:cs="仿宋_GB2312"/>
          <w:sz w:val="32"/>
          <w:szCs w:val="32"/>
          <w:lang w:eastAsia="zh-CN"/>
        </w:rPr>
        <w:t>地</w:t>
      </w:r>
      <w:r>
        <w:rPr>
          <w:rFonts w:hint="eastAsia" w:ascii="仿宋_GB2312" w:hAnsi="仿宋_GB2312" w:eastAsia="仿宋_GB2312" w:cs="仿宋_GB2312"/>
          <w:sz w:val="32"/>
          <w:szCs w:val="32"/>
        </w:rPr>
        <w:t>一策”安全预案，定期组织防灾、消防、应急演练。强化设施设备更新改造和应急物资储备，健全应急响应体系，提升突发事件处置能力。严格民政资金管理与监督，建立资金流向监测与预警制度，防范挪用风险。落实意识形态责任制，完善网络舆情监测与应急处置机制，防止舆情风险外溢。完善“接诉即办—主动治理”工作体系，健全民政服务热线响应机制，加强诉求数据分析与问题溯源，推动“事事有回应、件件有落实”，持续提升群众安全感和满意度。</w:t>
      </w:r>
    </w:p>
    <w:p w14:paraId="0037E263">
      <w:pPr>
        <w:spacing w:line="560" w:lineRule="exact"/>
        <w:rPr>
          <w:rFonts w:ascii="仿宋_GB2312" w:hAnsi="仿宋_GB2312" w:eastAsia="仿宋_GB2312" w:cs="仿宋_GB2312"/>
          <w:sz w:val="32"/>
          <w:szCs w:val="32"/>
        </w:rPr>
      </w:pPr>
    </w:p>
    <w:p w14:paraId="5C30460A">
      <w:pPr>
        <w:spacing w:line="560" w:lineRule="exact"/>
        <w:rPr>
          <w:rFonts w:ascii="仿宋_GB2312" w:hAnsi="仿宋_GB2312" w:eastAsia="仿宋_GB2312" w:cs="仿宋_GB2312"/>
          <w:sz w:val="32"/>
          <w:szCs w:val="32"/>
        </w:rPr>
      </w:pPr>
    </w:p>
    <w:p w14:paraId="093E36AC">
      <w:pPr>
        <w:spacing w:line="560" w:lineRule="exact"/>
        <w:rPr>
          <w:rFonts w:ascii="仿宋_GB2312" w:hAnsi="仿宋_GB2312" w:eastAsia="仿宋_GB2312" w:cs="仿宋_GB2312"/>
          <w:sz w:val="32"/>
          <w:szCs w:val="32"/>
        </w:rPr>
      </w:pPr>
    </w:p>
    <w:p w14:paraId="6382EBC6">
      <w:pPr>
        <w:spacing w:line="560" w:lineRule="exact"/>
        <w:rPr>
          <w:rFonts w:ascii="仿宋_GB2312" w:hAnsi="仿宋_GB2312" w:eastAsia="仿宋_GB2312" w:cs="仿宋_GB2312"/>
          <w:sz w:val="32"/>
          <w:szCs w:val="32"/>
        </w:rPr>
      </w:pPr>
    </w:p>
    <w:p w14:paraId="07F05701">
      <w:pPr>
        <w:spacing w:line="560" w:lineRule="exact"/>
        <w:rPr>
          <w:rFonts w:ascii="仿宋_GB2312" w:hAnsi="仿宋_GB2312" w:eastAsia="仿宋_GB2312" w:cs="仿宋_GB2312"/>
          <w:sz w:val="32"/>
          <w:szCs w:val="32"/>
        </w:rPr>
      </w:pPr>
    </w:p>
    <w:p w14:paraId="37001069">
      <w:pPr>
        <w:spacing w:line="560" w:lineRule="exact"/>
        <w:rPr>
          <w:rFonts w:ascii="仿宋_GB2312" w:hAnsi="仿宋_GB2312" w:eastAsia="仿宋_GB2312" w:cs="仿宋_GB2312"/>
          <w:sz w:val="32"/>
          <w:szCs w:val="32"/>
        </w:rPr>
      </w:pPr>
    </w:p>
    <w:p w14:paraId="423C29BF">
      <w:pPr>
        <w:spacing w:line="560" w:lineRule="exact"/>
        <w:rPr>
          <w:rFonts w:ascii="仿宋_GB2312" w:hAnsi="仿宋_GB2312" w:eastAsia="仿宋_GB2312" w:cs="仿宋_GB2312"/>
          <w:sz w:val="32"/>
          <w:szCs w:val="32"/>
        </w:rPr>
      </w:pPr>
    </w:p>
    <w:p w14:paraId="06332FF6">
      <w:pPr>
        <w:spacing w:line="560" w:lineRule="exact"/>
        <w:rPr>
          <w:rFonts w:ascii="仿宋_GB2312" w:hAnsi="仿宋_GB2312" w:eastAsia="仿宋_GB2312" w:cs="仿宋_GB2312"/>
          <w:sz w:val="32"/>
          <w:szCs w:val="32"/>
        </w:rPr>
      </w:pPr>
    </w:p>
    <w:p w14:paraId="56CE5CD6">
      <w:pPr>
        <w:spacing w:line="560" w:lineRule="exact"/>
        <w:rPr>
          <w:rFonts w:ascii="仿宋_GB2312" w:hAnsi="仿宋_GB2312" w:eastAsia="仿宋_GB2312" w:cs="仿宋_GB2312"/>
          <w:sz w:val="32"/>
          <w:szCs w:val="32"/>
        </w:rPr>
      </w:pPr>
    </w:p>
    <w:p w14:paraId="222EBEFE">
      <w:pPr>
        <w:spacing w:line="560" w:lineRule="exact"/>
        <w:rPr>
          <w:rFonts w:ascii="仿宋_GB2312" w:hAnsi="仿宋_GB2312" w:eastAsia="仿宋_GB2312" w:cs="仿宋_GB2312"/>
          <w:sz w:val="32"/>
          <w:szCs w:val="32"/>
        </w:rPr>
      </w:pPr>
    </w:p>
    <w:p w14:paraId="235B9216">
      <w:pPr>
        <w:spacing w:line="560" w:lineRule="exact"/>
        <w:rPr>
          <w:rFonts w:ascii="仿宋_GB2312" w:hAnsi="仿宋_GB2312" w:eastAsia="仿宋_GB2312" w:cs="仿宋_GB2312"/>
          <w:sz w:val="32"/>
          <w:szCs w:val="32"/>
        </w:rPr>
      </w:pPr>
    </w:p>
    <w:p w14:paraId="696AAC41">
      <w:pPr>
        <w:spacing w:line="560" w:lineRule="exact"/>
        <w:rPr>
          <w:rFonts w:ascii="仿宋_GB2312" w:hAnsi="仿宋_GB2312" w:eastAsia="仿宋_GB2312" w:cs="仿宋_GB2312"/>
          <w:sz w:val="32"/>
          <w:szCs w:val="32"/>
        </w:rPr>
      </w:pPr>
    </w:p>
    <w:p w14:paraId="604DD626">
      <w:pPr>
        <w:spacing w:line="560" w:lineRule="exact"/>
        <w:rPr>
          <w:rFonts w:ascii="仿宋_GB2312" w:hAnsi="仿宋_GB2312" w:eastAsia="仿宋_GB2312" w:cs="仿宋_GB2312"/>
          <w:sz w:val="32"/>
          <w:szCs w:val="32"/>
        </w:rPr>
      </w:pPr>
    </w:p>
    <w:p w14:paraId="44C92BE4">
      <w:pPr>
        <w:spacing w:line="560" w:lineRule="exact"/>
        <w:rPr>
          <w:rFonts w:ascii="仿宋_GB2312" w:hAnsi="仿宋_GB2312" w:eastAsia="仿宋_GB2312" w:cs="仿宋_GB2312"/>
          <w:sz w:val="32"/>
          <w:szCs w:val="32"/>
        </w:rPr>
      </w:pPr>
    </w:p>
    <w:p w14:paraId="53C1A144">
      <w:pPr>
        <w:spacing w:line="560" w:lineRule="exact"/>
        <w:rPr>
          <w:rFonts w:ascii="仿宋_GB2312" w:hAnsi="仿宋_GB2312" w:eastAsia="仿宋_GB2312" w:cs="仿宋_GB2312"/>
          <w:sz w:val="32"/>
          <w:szCs w:val="32"/>
        </w:rPr>
      </w:pPr>
    </w:p>
    <w:p w14:paraId="6E7640D2">
      <w:pPr>
        <w:spacing w:line="560" w:lineRule="exact"/>
        <w:rPr>
          <w:rFonts w:ascii="仿宋_GB2312" w:hAnsi="仿宋_GB2312" w:eastAsia="仿宋_GB2312" w:cs="仿宋_GB2312"/>
          <w:sz w:val="32"/>
          <w:szCs w:val="32"/>
        </w:rPr>
      </w:pPr>
    </w:p>
    <w:p w14:paraId="0D567BBD">
      <w:pPr>
        <w:spacing w:line="560" w:lineRule="exact"/>
        <w:rPr>
          <w:rFonts w:ascii="仿宋_GB2312" w:hAnsi="仿宋_GB2312" w:eastAsia="仿宋_GB2312" w:cs="仿宋_GB2312"/>
          <w:sz w:val="32"/>
          <w:szCs w:val="32"/>
        </w:rPr>
      </w:pPr>
    </w:p>
    <w:p w14:paraId="144AA540">
      <w:pPr>
        <w:numPr>
          <w:ilvl w:val="0"/>
          <w:numId w:val="2"/>
        </w:numPr>
        <w:spacing w:line="560" w:lineRule="exact"/>
        <w:jc w:val="center"/>
        <w:rPr>
          <w:rFonts w:hint="eastAsia" w:ascii="黑体" w:hAnsi="黑体" w:eastAsia="黑体" w:cs="黑体"/>
          <w:sz w:val="36"/>
          <w:szCs w:val="36"/>
        </w:rPr>
      </w:pPr>
      <w:r>
        <w:rPr>
          <w:rFonts w:hint="eastAsia" w:ascii="黑体" w:hAnsi="黑体" w:eastAsia="黑体" w:cs="黑体"/>
          <w:sz w:val="36"/>
          <w:szCs w:val="36"/>
        </w:rPr>
        <w:t>附件</w:t>
      </w:r>
    </w:p>
    <w:p w14:paraId="49CA4E9A">
      <w:pPr>
        <w:numPr>
          <w:ilvl w:val="0"/>
          <w:numId w:val="0"/>
        </w:numPr>
        <w:spacing w:line="560" w:lineRule="exact"/>
        <w:jc w:val="both"/>
        <w:rPr>
          <w:rFonts w:hint="eastAsia" w:ascii="黑体" w:hAnsi="黑体" w:eastAsia="黑体" w:cs="黑体"/>
          <w:sz w:val="36"/>
          <w:szCs w:val="36"/>
        </w:rPr>
      </w:pPr>
    </w:p>
    <w:p w14:paraId="5459C81C">
      <w:pPr>
        <w:spacing w:line="560" w:lineRule="exact"/>
        <w:jc w:val="center"/>
        <w:rPr>
          <w:rFonts w:ascii="黑体" w:hAnsi="黑体" w:eastAsia="黑体" w:cs="黑体"/>
          <w:sz w:val="32"/>
          <w:szCs w:val="32"/>
        </w:rPr>
      </w:pPr>
      <w:r>
        <w:rPr>
          <w:rFonts w:hint="eastAsia" w:ascii="黑体" w:hAnsi="黑体" w:eastAsia="黑体" w:cs="黑体"/>
          <w:sz w:val="32"/>
          <w:szCs w:val="32"/>
        </w:rPr>
        <w:t>1.“十五五”时期门头沟区民政事业发展主要指标</w:t>
      </w:r>
    </w:p>
    <w:tbl>
      <w:tblPr>
        <w:tblStyle w:val="17"/>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2" w:type="dxa"/>
          <w:left w:w="64" w:type="dxa"/>
          <w:bottom w:w="32" w:type="dxa"/>
          <w:right w:w="64" w:type="dxa"/>
        </w:tblCellMar>
      </w:tblPr>
      <w:tblGrid>
        <w:gridCol w:w="1160"/>
        <w:gridCol w:w="1033"/>
        <w:gridCol w:w="3535"/>
        <w:gridCol w:w="1988"/>
        <w:gridCol w:w="1072"/>
      </w:tblGrid>
      <w:tr w14:paraId="5A51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blHeader/>
          <w:jc w:val="center"/>
        </w:trPr>
        <w:tc>
          <w:tcPr>
            <w:tcW w:w="2193" w:type="dxa"/>
            <w:gridSpan w:val="2"/>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3BDF923C">
            <w:pPr>
              <w:snapToGrid w:val="0"/>
              <w:spacing w:line="60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领域</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30A701">
            <w:pPr>
              <w:snapToGrid w:val="0"/>
              <w:spacing w:line="60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指标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0E0A34">
            <w:pPr>
              <w:snapToGrid w:val="0"/>
              <w:spacing w:line="60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属性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00A64">
            <w:pPr>
              <w:snapToGrid w:val="0"/>
              <w:spacing w:line="60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2030年</w:t>
            </w:r>
          </w:p>
        </w:tc>
      </w:tr>
      <w:tr w14:paraId="17C73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restart"/>
            <w:tcBorders>
              <w:top w:val="single" w:color="000000" w:sz="4" w:space="0"/>
              <w:left w:val="single" w:color="000000" w:sz="4" w:space="0"/>
              <w:right w:val="single" w:color="000000" w:sz="4" w:space="0"/>
              <w:tl2br w:val="nil"/>
            </w:tcBorders>
            <w:shd w:val="clear" w:color="auto" w:fill="FFFFFF"/>
            <w:vAlign w:val="center"/>
          </w:tcPr>
          <w:p w14:paraId="3ACF0A6C">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老龄和养老服务</w:t>
            </w: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DF7A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E73DB4">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每千名常住人口拥有养老床位数（张）</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C6BCFB">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约束性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980EA7">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＞8.25</w:t>
            </w:r>
          </w:p>
        </w:tc>
      </w:tr>
      <w:tr w14:paraId="47443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l2br w:val="nil"/>
            </w:tcBorders>
            <w:shd w:val="clear" w:color="auto" w:fill="FFFFFF"/>
            <w:vAlign w:val="center"/>
          </w:tcPr>
          <w:p w14:paraId="68444203">
            <w:pPr>
              <w:snapToGrid w:val="0"/>
              <w:spacing w:line="600" w:lineRule="exact"/>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1A869">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FD52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万名老年人拥有护理员数（人）</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135B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55D1E7">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14:paraId="05E1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196BDC0E">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8438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0491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养老机构护理型床位占比（%）</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5B31B">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C5DC65">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73</w:t>
            </w:r>
          </w:p>
        </w:tc>
      </w:tr>
      <w:tr w14:paraId="1E1E9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5ECC6E3B">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4C3F5">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BB4197">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100张床位以上且具备相应服务能力的养老机构失智老年人照护专区（单元）设置率（%）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E47B34">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7B278B">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≥50</w:t>
            </w:r>
          </w:p>
        </w:tc>
      </w:tr>
      <w:tr w14:paraId="1748A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6A403C6C">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8F579">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FE8B69">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镇街区域养老服务中心建设覆盖率（%）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68A14E">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1A38D">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75</w:t>
            </w:r>
          </w:p>
        </w:tc>
      </w:tr>
      <w:tr w14:paraId="64183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tcBorders>
              <w:top w:val="single" w:color="000000" w:sz="4" w:space="0"/>
              <w:left w:val="single" w:color="000000" w:sz="4" w:space="0"/>
              <w:right w:val="single" w:color="000000" w:sz="4" w:space="0"/>
            </w:tcBorders>
            <w:shd w:val="clear" w:color="auto" w:fill="FFFFFF"/>
            <w:vAlign w:val="center"/>
          </w:tcPr>
          <w:p w14:paraId="6DB7A885">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w:t>
            </w:r>
          </w:p>
          <w:p w14:paraId="1939F350">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救助</w:t>
            </w: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0CD4A1">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70875">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低保标准占人均消费支出量化区间（%）</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9D8C67">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CA3B67">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30-38</w:t>
            </w:r>
          </w:p>
        </w:tc>
      </w:tr>
      <w:tr w14:paraId="1B2E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restart"/>
            <w:tcBorders>
              <w:top w:val="single" w:color="000000" w:sz="4" w:space="0"/>
              <w:left w:val="single" w:color="000000" w:sz="4" w:space="0"/>
              <w:right w:val="single" w:color="000000" w:sz="4" w:space="0"/>
            </w:tcBorders>
            <w:shd w:val="clear" w:color="auto" w:fill="FFFFFF"/>
            <w:vAlign w:val="center"/>
          </w:tcPr>
          <w:p w14:paraId="64167D78">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社会</w:t>
            </w:r>
          </w:p>
          <w:p w14:paraId="068A3E7E">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福利</w:t>
            </w: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F83DA">
            <w:pPr>
              <w:snapToGrid w:val="0"/>
              <w:spacing w:line="600" w:lineRule="exact"/>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0EF36D">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儿童福利机构“开门办院”率</w:t>
            </w:r>
            <w:r>
              <w:rPr>
                <w:rFonts w:hint="eastAsia" w:ascii="仿宋_GB2312" w:hAnsi="仿宋_GB2312" w:eastAsia="仿宋_GB2312" w:cs="仿宋_GB2312"/>
                <w:color w:val="00000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E4172">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C290CF">
            <w:pPr>
              <w:snapToGrid w:val="0"/>
              <w:spacing w:line="600" w:lineRule="exact"/>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100</w:t>
            </w:r>
          </w:p>
        </w:tc>
      </w:tr>
      <w:tr w14:paraId="4FEB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12A56BF6">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B77F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8</w:t>
            </w:r>
            <w:r>
              <w:rPr>
                <w:rFonts w:hint="eastAsia" w:ascii="仿宋_GB2312" w:hAnsi="仿宋_GB2312" w:eastAsia="仿宋_GB2312" w:cs="仿宋_GB2312"/>
                <w:color w:val="000000"/>
                <w:sz w:val="24"/>
              </w:rPr>
              <w:t xml:space="preserve">                                                                                                                                                                </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A2A1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全区开展精神障碍社区康复服务的镇街覆盖率（%）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AEBBC">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1F96B">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95</w:t>
            </w:r>
          </w:p>
        </w:tc>
      </w:tr>
      <w:tr w14:paraId="7BA2F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585EB2F2">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BB5A7">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val="en-US" w:eastAsia="zh-CN"/>
              </w:rPr>
              <w:t>9</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B480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区级康复辅助器具服务中心覆盖率（%）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8036C">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57132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14:paraId="6EE69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restart"/>
            <w:tcBorders>
              <w:top w:val="single" w:color="000000" w:sz="4" w:space="0"/>
              <w:left w:val="single" w:color="000000" w:sz="4" w:space="0"/>
              <w:right w:val="single" w:color="000000" w:sz="4" w:space="0"/>
            </w:tcBorders>
            <w:shd w:val="clear" w:color="auto" w:fill="FFFFFF"/>
            <w:vAlign w:val="center"/>
          </w:tcPr>
          <w:p w14:paraId="4CCD667B">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w:t>
            </w:r>
          </w:p>
          <w:p w14:paraId="085F5F91">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事务</w:t>
            </w: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4BA85F">
            <w:pPr>
              <w:snapToGrid w:val="0"/>
              <w:spacing w:line="600" w:lineRule="exact"/>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BAA0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节地生态安葬率（%）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FF448A">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73722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80</w:t>
            </w:r>
          </w:p>
        </w:tc>
      </w:tr>
      <w:tr w14:paraId="009D9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0B5C8F87">
            <w:pPr>
              <w:snapToGrid w:val="0"/>
              <w:spacing w:line="600" w:lineRule="exact"/>
              <w:ind w:firstLine="480" w:firstLineChars="200"/>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E69C09">
            <w:pPr>
              <w:snapToGrid w:val="0"/>
              <w:spacing w:line="600" w:lineRule="exact"/>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11</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4F6A2">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公益性安葬设施覆盖率（%）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5ACF6">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约束性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D740C">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14:paraId="4CDFF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restart"/>
            <w:tcBorders>
              <w:top w:val="single" w:color="000000" w:sz="4" w:space="0"/>
              <w:left w:val="single" w:color="000000" w:sz="4" w:space="0"/>
              <w:right w:val="single" w:color="000000" w:sz="4" w:space="0"/>
            </w:tcBorders>
            <w:shd w:val="clear" w:color="auto" w:fill="FFFFFF"/>
            <w:vAlign w:val="center"/>
          </w:tcPr>
          <w:p w14:paraId="561DF6F5">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w:t>
            </w:r>
          </w:p>
          <w:p w14:paraId="1C837844">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治理</w:t>
            </w: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A196A8">
            <w:pPr>
              <w:snapToGrid w:val="0"/>
              <w:spacing w:line="600" w:lineRule="exact"/>
              <w:jc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12</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78A663">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信用优良的区级社会组织占比（%）</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2A229">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1FFCFD">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50</w:t>
            </w:r>
          </w:p>
        </w:tc>
      </w:tr>
      <w:tr w14:paraId="0CEE6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160" w:type="dxa"/>
            <w:vMerge w:val="continue"/>
            <w:tcBorders>
              <w:left w:val="single" w:color="000000" w:sz="4" w:space="0"/>
              <w:right w:val="single" w:color="000000" w:sz="4" w:space="0"/>
            </w:tcBorders>
            <w:shd w:val="clear" w:color="auto" w:fill="FFFFFF"/>
            <w:vAlign w:val="center"/>
          </w:tcPr>
          <w:p w14:paraId="2521E665">
            <w:pPr>
              <w:snapToGrid w:val="0"/>
              <w:spacing w:line="600" w:lineRule="exact"/>
              <w:jc w:val="center"/>
              <w:rPr>
                <w:rFonts w:ascii="仿宋_GB2312" w:hAnsi="仿宋_GB2312" w:eastAsia="仿宋_GB2312" w:cs="仿宋_GB2312"/>
                <w:color w:val="000000"/>
                <w:sz w:val="24"/>
              </w:rPr>
            </w:pPr>
          </w:p>
        </w:tc>
        <w:tc>
          <w:tcPr>
            <w:tcW w:w="1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800E67">
            <w:pPr>
              <w:snapToGrid w:val="0"/>
              <w:spacing w:line="600" w:lineRule="exact"/>
              <w:jc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1</w:t>
            </w:r>
            <w:r>
              <w:rPr>
                <w:rFonts w:hint="eastAsia" w:ascii="仿宋_GB2312" w:hAnsi="仿宋_GB2312" w:eastAsia="仿宋_GB2312" w:cs="仿宋_GB2312"/>
                <w:color w:val="000000"/>
                <w:sz w:val="24"/>
                <w:lang w:val="en-US" w:eastAsia="zh-CN"/>
              </w:rPr>
              <w:t>3</w:t>
            </w:r>
          </w:p>
        </w:tc>
        <w:tc>
          <w:tcPr>
            <w:tcW w:w="35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B241F">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镇街慈善工作服务站覆盖率（%）</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3587A">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预期性</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A22E41">
            <w:pPr>
              <w:snapToGrid w:val="0"/>
              <w:spacing w:line="600"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≥80</w:t>
            </w:r>
          </w:p>
        </w:tc>
      </w:tr>
    </w:tbl>
    <w:p w14:paraId="087F9629">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注：①每千名常住人口拥有养老床位数是指养老床位总数与当年常住人口数（千人）的比值。养老床位包括养老机构集中照护床位、社区养老服务驿站的日间照料床位、家庭养老床位。</w:t>
      </w:r>
    </w:p>
    <w:p w14:paraId="616F9A1A">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②护理员包含机构养老护理员以及从事居家养老照护服务的家政人员。</w:t>
      </w:r>
    </w:p>
    <w:p w14:paraId="13129A4F">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③养老机构护理型床位是指养老机构面向失能失智老年人照护服务需求，保障基本生活照料和护理服务的床位设施及相应服务能力。</w:t>
      </w:r>
    </w:p>
    <w:p w14:paraId="15671F56">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④失智老年人照护专区（单元）是指养老机构参照《养老机构 认知障碍友好环境设置导则》（GB/T 44714-2024）《养老机构认知障碍老年人照护指南》（GB/T 46401-2025）等国家标准对环境布局、设施设备、人员配置等相关要求进行设置的、适合于开展认知障碍老年人照护服务的专区（单元）。</w:t>
      </w:r>
    </w:p>
    <w:p w14:paraId="4E7DF35F">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⑤镇街区域养老服务中心建设覆盖率是指已建成镇街区域养老服务中心数量占全区镇街总数的比例。</w:t>
      </w:r>
    </w:p>
    <w:p w14:paraId="744CB9DB">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⑥低保标准占人均消费支出量化区间数据中，2025年数据为“十四五”时期区间值，2030年数据为“十五五”时期区间值。</w:t>
      </w:r>
    </w:p>
    <w:p w14:paraId="618210C0">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⑦区级康复辅助器具服务中心是指各区统筹建设的，提供康复辅助器具功能展示、体验试用、评估配置、租赁销售、产品维护等服务的康复辅助器具服务场所。</w:t>
      </w:r>
    </w:p>
    <w:p w14:paraId="351006C0">
      <w:pPr>
        <w:spacing w:line="600" w:lineRule="exact"/>
        <w:ind w:firstLine="300" w:firstLineChars="200"/>
        <w:jc w:val="left"/>
        <w:rPr>
          <w:rFonts w:ascii="仿宋_GB2312" w:hAnsi="仿宋_GB2312" w:eastAsia="仿宋_GB2312" w:cs="仿宋_GB2312"/>
          <w:sz w:val="15"/>
          <w:szCs w:val="15"/>
        </w:rPr>
      </w:pPr>
      <w:r>
        <w:rPr>
          <w:rFonts w:hint="eastAsia" w:ascii="仿宋_GB2312" w:hAnsi="仿宋_GB2312" w:eastAsia="仿宋_GB2312" w:cs="仿宋_GB2312"/>
          <w:sz w:val="15"/>
          <w:szCs w:val="15"/>
        </w:rPr>
        <w:t>⑧公益性安葬设施服务覆盖率是指公益性安葬设施（包含公益性公墓、集中埋葬点、骨灰廊墙亭堂）服务所能覆盖地域范围，占该区域总地域面积的比例。</w:t>
      </w:r>
    </w:p>
    <w:p w14:paraId="5FC67745">
      <w:pPr>
        <w:spacing w:line="600" w:lineRule="exact"/>
        <w:ind w:firstLine="300" w:firstLineChars="200"/>
        <w:jc w:val="left"/>
        <w:rPr>
          <w:rFonts w:ascii="仿宋_GB2312" w:hAnsi="仿宋_GB2312" w:eastAsia="仿宋_GB2312" w:cs="仿宋_GB2312"/>
          <w:sz w:val="28"/>
          <w:szCs w:val="28"/>
        </w:rPr>
      </w:pPr>
      <w:r>
        <w:rPr>
          <w:rFonts w:hint="eastAsia" w:ascii="仿宋_GB2312" w:hAnsi="仿宋_GB2312" w:eastAsia="仿宋_GB2312" w:cs="仿宋_GB2312"/>
          <w:sz w:val="15"/>
          <w:szCs w:val="15"/>
        </w:rPr>
        <w:t>⑨信用优良的区级社会组织占比是指公共信用评价等级为A级（优）和B级（良）的区级社会组织数量占区级社会组织总数的比例。</w:t>
      </w:r>
    </w:p>
    <w:p w14:paraId="067A07E3">
      <w:pPr>
        <w:spacing w:line="560" w:lineRule="exact"/>
        <w:jc w:val="center"/>
        <w:rPr>
          <w:rFonts w:ascii="黑体" w:hAnsi="黑体" w:eastAsia="黑体" w:cs="黑体"/>
          <w:sz w:val="32"/>
          <w:szCs w:val="32"/>
        </w:rPr>
      </w:pPr>
      <w:r>
        <w:rPr>
          <w:rFonts w:hint="eastAsia" w:ascii="黑体" w:hAnsi="黑体" w:eastAsia="黑体" w:cs="黑体"/>
          <w:sz w:val="32"/>
          <w:szCs w:val="32"/>
        </w:rPr>
        <w:t>2.“十五五”时期民政领域项目任务表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12"/>
        <w:gridCol w:w="4330"/>
        <w:gridCol w:w="1696"/>
      </w:tblGrid>
      <w:tr w14:paraId="0BC30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122B4558">
            <w:pPr>
              <w:overflowPunct w:val="0"/>
              <w:adjustRightInd w:val="0"/>
              <w:snapToGrid w:val="0"/>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12" w:type="dxa"/>
          </w:tcPr>
          <w:p w14:paraId="0C376D6F">
            <w:pPr>
              <w:overflowPunct w:val="0"/>
              <w:adjustRightInd w:val="0"/>
              <w:snapToGrid w:val="0"/>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项目名称</w:t>
            </w:r>
          </w:p>
        </w:tc>
        <w:tc>
          <w:tcPr>
            <w:tcW w:w="4330" w:type="dxa"/>
          </w:tcPr>
          <w:p w14:paraId="792EE2E0">
            <w:pPr>
              <w:overflowPunct w:val="0"/>
              <w:adjustRightInd w:val="0"/>
              <w:snapToGrid w:val="0"/>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内容</w:t>
            </w:r>
          </w:p>
        </w:tc>
        <w:tc>
          <w:tcPr>
            <w:tcW w:w="1696" w:type="dxa"/>
          </w:tcPr>
          <w:p w14:paraId="0EAF55CD">
            <w:pPr>
              <w:overflowPunct w:val="0"/>
              <w:adjustRightInd w:val="0"/>
              <w:snapToGrid w:val="0"/>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计划完成时间</w:t>
            </w:r>
          </w:p>
        </w:tc>
      </w:tr>
      <w:tr w14:paraId="4C3B4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5" w:type="dxa"/>
            <w:gridSpan w:val="4"/>
            <w:vAlign w:val="center"/>
          </w:tcPr>
          <w:p w14:paraId="6DDF9BDB">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b/>
                <w:bCs/>
                <w:sz w:val="24"/>
              </w:rPr>
              <w:t>基础设施（6项）</w:t>
            </w:r>
          </w:p>
        </w:tc>
      </w:tr>
      <w:tr w14:paraId="5472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1B24EFD5">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2212" w:type="dxa"/>
          </w:tcPr>
          <w:p w14:paraId="0515B995">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龙泉镇、永定镇养老服务中心项目</w:t>
            </w:r>
          </w:p>
        </w:tc>
        <w:tc>
          <w:tcPr>
            <w:tcW w:w="4330" w:type="dxa"/>
          </w:tcPr>
          <w:p w14:paraId="6E8E8C65">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通过对现有养老配套设施或养老机构提升改造进行建设。每个设施建筑面积不少于1500平方米，养老床位面积不超过总面积的50%。</w:t>
            </w:r>
          </w:p>
        </w:tc>
        <w:tc>
          <w:tcPr>
            <w:tcW w:w="1696" w:type="dxa"/>
          </w:tcPr>
          <w:p w14:paraId="769DA391">
            <w:pPr>
              <w:overflowPunct w:val="0"/>
              <w:adjustRightInd w:val="0"/>
              <w:snapToGrid w:val="0"/>
              <w:spacing w:line="56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2027年</w:t>
            </w:r>
            <w:r>
              <w:rPr>
                <w:rFonts w:hint="eastAsia" w:ascii="仿宋_GB2312" w:hAnsi="仿宋_GB2312" w:eastAsia="仿宋_GB2312" w:cs="仿宋_GB2312"/>
                <w:sz w:val="24"/>
                <w:lang w:val="en-US" w:eastAsia="zh-CN"/>
              </w:rPr>
              <w:t>12月</w:t>
            </w:r>
          </w:p>
        </w:tc>
      </w:tr>
      <w:tr w14:paraId="489B2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186CD776">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2212" w:type="dxa"/>
          </w:tcPr>
          <w:p w14:paraId="01813DF7">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龙泉镇养老照料中心灾后异地建设项目</w:t>
            </w:r>
          </w:p>
        </w:tc>
        <w:tc>
          <w:tcPr>
            <w:tcW w:w="4330" w:type="dxa"/>
          </w:tcPr>
          <w:p w14:paraId="69826AB5">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规划总用地面积10906.862平方米，新建总面积21519.78平方米，设置养老床位400张。</w:t>
            </w:r>
          </w:p>
        </w:tc>
        <w:tc>
          <w:tcPr>
            <w:tcW w:w="1696" w:type="dxa"/>
          </w:tcPr>
          <w:p w14:paraId="35B2E3FB">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2026年6月</w:t>
            </w:r>
          </w:p>
        </w:tc>
      </w:tr>
      <w:tr w14:paraId="1A951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2028437F">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2212" w:type="dxa"/>
          </w:tcPr>
          <w:p w14:paraId="6D82518F">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潭柘寺镇社会福利中心灾后异地建设项目</w:t>
            </w:r>
          </w:p>
        </w:tc>
        <w:tc>
          <w:tcPr>
            <w:tcW w:w="4330" w:type="dxa"/>
          </w:tcPr>
          <w:p w14:paraId="538E670B">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规划总用地面积17078.7平方米，新建总建筑面积24909.75平方米，设置养老床位420张。</w:t>
            </w:r>
          </w:p>
          <w:p w14:paraId="67EA0B53">
            <w:pPr>
              <w:overflowPunct w:val="0"/>
              <w:adjustRightInd w:val="0"/>
              <w:snapToGrid w:val="0"/>
              <w:spacing w:line="560" w:lineRule="exact"/>
              <w:rPr>
                <w:rFonts w:ascii="仿宋_GB2312" w:hAnsi="仿宋_GB2312" w:eastAsia="仿宋_GB2312" w:cs="仿宋_GB2312"/>
                <w:sz w:val="24"/>
              </w:rPr>
            </w:pPr>
          </w:p>
        </w:tc>
        <w:tc>
          <w:tcPr>
            <w:tcW w:w="1696" w:type="dxa"/>
          </w:tcPr>
          <w:p w14:paraId="070FAD8B">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2026年6月</w:t>
            </w:r>
          </w:p>
        </w:tc>
      </w:tr>
      <w:tr w14:paraId="57C3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421D139F">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2212" w:type="dxa"/>
          </w:tcPr>
          <w:p w14:paraId="5AE15F82">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区殡仪馆迁建项目</w:t>
            </w:r>
          </w:p>
        </w:tc>
        <w:tc>
          <w:tcPr>
            <w:tcW w:w="4330" w:type="dxa"/>
          </w:tcPr>
          <w:p w14:paraId="2FB0A31E">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总建筑面积约1.8万平方米,设置业务厅、车间、骨灰堂、停车场、办公生活区等必备功能设施。</w:t>
            </w:r>
          </w:p>
        </w:tc>
        <w:tc>
          <w:tcPr>
            <w:tcW w:w="1696" w:type="dxa"/>
          </w:tcPr>
          <w:p w14:paraId="587F3378">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2030年12月</w:t>
            </w:r>
          </w:p>
        </w:tc>
      </w:tr>
      <w:tr w14:paraId="72F34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17" w:type="dxa"/>
            <w:vAlign w:val="center"/>
          </w:tcPr>
          <w:p w14:paraId="563C0656">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2212" w:type="dxa"/>
          </w:tcPr>
          <w:p w14:paraId="48C5AAA8">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天山陵园扩容项目</w:t>
            </w:r>
          </w:p>
        </w:tc>
        <w:tc>
          <w:tcPr>
            <w:tcW w:w="4330" w:type="dxa"/>
          </w:tcPr>
          <w:p w14:paraId="6C4823E7">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扩容项目严格按照北京市殡葬设施专项规划、分区规划、区级殡葬专项规划要求，计划实施扩容一期项目，占地80亩，满足公益安葬需求。</w:t>
            </w:r>
          </w:p>
        </w:tc>
        <w:tc>
          <w:tcPr>
            <w:tcW w:w="1696" w:type="dxa"/>
          </w:tcPr>
          <w:p w14:paraId="39F24E57">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2030年12月</w:t>
            </w:r>
          </w:p>
        </w:tc>
      </w:tr>
      <w:tr w14:paraId="273EF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817" w:type="dxa"/>
            <w:vAlign w:val="center"/>
          </w:tcPr>
          <w:p w14:paraId="55C3639F">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2212" w:type="dxa"/>
          </w:tcPr>
          <w:p w14:paraId="10D47275">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门头沟区级公益性公墓续建项目</w:t>
            </w:r>
          </w:p>
        </w:tc>
        <w:tc>
          <w:tcPr>
            <w:tcW w:w="4330" w:type="dxa"/>
          </w:tcPr>
          <w:p w14:paraId="493105FD">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项目总用地约104亩，已建成23亩，需新建81亩，用于墓穴建设及墓区道路修建。满足全区低保、特困等特定群体的公益安葬需求；全区范围内重点工程推进、拆除违法违规建设、清理整顿非法墓地及推动其他重点工作需要的迁坟。</w:t>
            </w:r>
          </w:p>
        </w:tc>
        <w:tc>
          <w:tcPr>
            <w:tcW w:w="1696" w:type="dxa"/>
          </w:tcPr>
          <w:p w14:paraId="787DCADB">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2030年12月</w:t>
            </w:r>
          </w:p>
        </w:tc>
      </w:tr>
      <w:tr w14:paraId="54825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5" w:type="dxa"/>
            <w:gridSpan w:val="4"/>
          </w:tcPr>
          <w:p w14:paraId="1D008C41">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b/>
                <w:bCs/>
                <w:sz w:val="24"/>
              </w:rPr>
              <w:t>改革举措（4项）</w:t>
            </w:r>
          </w:p>
        </w:tc>
      </w:tr>
      <w:tr w14:paraId="57D35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1FE0798F">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2212" w:type="dxa"/>
          </w:tcPr>
          <w:p w14:paraId="48DAF208">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推进多元融合型养老服务体系建设</w:t>
            </w:r>
          </w:p>
        </w:tc>
        <w:tc>
          <w:tcPr>
            <w:tcW w:w="4330" w:type="dxa"/>
          </w:tcPr>
          <w:p w14:paraId="10056225">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养老服务驿站、老年餐桌和镇街养老服务中心等社区居家养老服务设施基本实现覆盖，区、镇街和村居养老服务网络成熟完善，基本养老服务清单和市场服务清单进一步丰富，居家社区机构相协调、医养相结合的养老服务体系初步构建，养老事业和养老产业协同发展，老龄社会治理新局面初步形成。</w:t>
            </w:r>
          </w:p>
        </w:tc>
        <w:tc>
          <w:tcPr>
            <w:tcW w:w="1696" w:type="dxa"/>
          </w:tcPr>
          <w:p w14:paraId="023F919A">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逐年开展</w:t>
            </w:r>
          </w:p>
        </w:tc>
      </w:tr>
      <w:tr w14:paraId="5814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68ABC487">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2212" w:type="dxa"/>
          </w:tcPr>
          <w:p w14:paraId="6785E5D0">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建设“应保尽保、应救尽救”的分层分类保障制度</w:t>
            </w:r>
          </w:p>
        </w:tc>
        <w:tc>
          <w:tcPr>
            <w:tcW w:w="4330" w:type="dxa"/>
          </w:tcPr>
          <w:p w14:paraId="3ED14FD4">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以最低生活保障为基础，形成专项救助综合保障，临时救助解急济困的救助工作格局。</w:t>
            </w:r>
          </w:p>
        </w:tc>
        <w:tc>
          <w:tcPr>
            <w:tcW w:w="1696" w:type="dxa"/>
          </w:tcPr>
          <w:p w14:paraId="501CE5FC">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逐年开展</w:t>
            </w:r>
          </w:p>
        </w:tc>
      </w:tr>
      <w:tr w14:paraId="66BB9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7630A20">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2212" w:type="dxa"/>
          </w:tcPr>
          <w:p w14:paraId="3ABE47AB">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创新婚姻登记服务模式</w:t>
            </w:r>
          </w:p>
        </w:tc>
        <w:tc>
          <w:tcPr>
            <w:tcW w:w="4330" w:type="dxa"/>
          </w:tcPr>
          <w:p w14:paraId="11C1A6AA">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推动婚姻登记服务创新发展，深入推进婚俗改革，努力培育文明简约新婚俗，营造生育友好社会氛围。</w:t>
            </w:r>
          </w:p>
        </w:tc>
        <w:tc>
          <w:tcPr>
            <w:tcW w:w="1696" w:type="dxa"/>
          </w:tcPr>
          <w:p w14:paraId="183ECDAC">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逐年开展</w:t>
            </w:r>
          </w:p>
        </w:tc>
      </w:tr>
      <w:tr w14:paraId="5D92D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5B7CF99F">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2212" w:type="dxa"/>
          </w:tcPr>
          <w:p w14:paraId="3D4F819B">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lang w:eastAsia="zh-CN"/>
              </w:rPr>
              <w:t>提升</w:t>
            </w:r>
            <w:r>
              <w:rPr>
                <w:rFonts w:hint="eastAsia" w:ascii="仿宋_GB2312" w:hAnsi="仿宋_GB2312" w:eastAsia="仿宋_GB2312" w:cs="仿宋_GB2312"/>
                <w:sz w:val="24"/>
              </w:rPr>
              <w:t>殡葬服务保障能力</w:t>
            </w:r>
          </w:p>
        </w:tc>
        <w:tc>
          <w:tcPr>
            <w:tcW w:w="4330" w:type="dxa"/>
          </w:tcPr>
          <w:p w14:paraId="7FEB18F8">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以满足人民群众殡葬需求为导向，以提升殡葬服务能力和水平为保障，以创新殡葬管理体制机制为动力，整合资源、规范管理、优化服务、深化改革，为推动殡葬事业高质量发展提供有力支撑。</w:t>
            </w:r>
          </w:p>
        </w:tc>
        <w:tc>
          <w:tcPr>
            <w:tcW w:w="1696" w:type="dxa"/>
          </w:tcPr>
          <w:p w14:paraId="1B978A4E">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逐年开展</w:t>
            </w:r>
          </w:p>
        </w:tc>
      </w:tr>
      <w:tr w14:paraId="02BD5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5" w:type="dxa"/>
            <w:gridSpan w:val="4"/>
          </w:tcPr>
          <w:p w14:paraId="6949CC11">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b/>
                <w:bCs/>
                <w:sz w:val="24"/>
              </w:rPr>
              <w:t>重大任务（</w:t>
            </w:r>
            <w:r>
              <w:rPr>
                <w:rFonts w:hint="eastAsia" w:ascii="仿宋_GB2312" w:hAnsi="仿宋_GB2312" w:eastAsia="仿宋_GB2312" w:cs="仿宋_GB2312"/>
                <w:b/>
                <w:bCs/>
                <w:sz w:val="24"/>
                <w:lang w:val="en-US" w:eastAsia="zh-CN"/>
              </w:rPr>
              <w:t>3</w:t>
            </w:r>
            <w:r>
              <w:rPr>
                <w:rFonts w:hint="eastAsia" w:ascii="仿宋_GB2312" w:hAnsi="仿宋_GB2312" w:eastAsia="仿宋_GB2312" w:cs="仿宋_GB2312"/>
                <w:b/>
                <w:bCs/>
                <w:sz w:val="24"/>
              </w:rPr>
              <w:t>项）</w:t>
            </w:r>
          </w:p>
        </w:tc>
      </w:tr>
      <w:tr w14:paraId="3B641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331692A0">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2212" w:type="dxa"/>
          </w:tcPr>
          <w:p w14:paraId="5C69C9D6">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行政区划调整</w:t>
            </w:r>
          </w:p>
        </w:tc>
        <w:tc>
          <w:tcPr>
            <w:tcW w:w="4330" w:type="dxa"/>
          </w:tcPr>
          <w:p w14:paraId="335EB1A8">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编制行政区划调整方案，按程序报市政府批准后组织实施。</w:t>
            </w:r>
          </w:p>
        </w:tc>
        <w:tc>
          <w:tcPr>
            <w:tcW w:w="1696" w:type="dxa"/>
          </w:tcPr>
          <w:p w14:paraId="78EC103B">
            <w:pPr>
              <w:overflowPunct w:val="0"/>
              <w:adjustRightInd w:val="0"/>
              <w:snapToGrid w:val="0"/>
              <w:spacing w:line="56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202</w:t>
            </w:r>
            <w:r>
              <w:rPr>
                <w:rFonts w:hint="eastAsia" w:ascii="仿宋_GB2312" w:hAnsi="仿宋_GB2312" w:eastAsia="仿宋_GB2312" w:cs="仿宋_GB2312"/>
                <w:sz w:val="24"/>
                <w:lang w:val="en-US" w:eastAsia="zh-CN"/>
              </w:rPr>
              <w:t>8年6月</w:t>
            </w:r>
          </w:p>
        </w:tc>
      </w:tr>
      <w:tr w14:paraId="5D35B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6B991DDD">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2212" w:type="dxa"/>
          </w:tcPr>
          <w:p w14:paraId="0A9AB979">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社会救助项目</w:t>
            </w:r>
          </w:p>
        </w:tc>
        <w:tc>
          <w:tcPr>
            <w:tcW w:w="4330" w:type="dxa"/>
          </w:tcPr>
          <w:p w14:paraId="4A9820FC">
            <w:pPr>
              <w:overflowPunct w:val="0"/>
              <w:adjustRightInd w:val="0"/>
              <w:snapToGrid w:val="0"/>
              <w:spacing w:line="560" w:lineRule="exact"/>
              <w:rPr>
                <w:rFonts w:ascii="仿宋_GB2312" w:hAnsi="仿宋_GB2312" w:eastAsia="仿宋_GB2312" w:cs="仿宋_GB2312"/>
                <w:sz w:val="24"/>
              </w:rPr>
            </w:pPr>
            <w:r>
              <w:rPr>
                <w:rFonts w:hint="eastAsia" w:ascii="仿宋_GB2312" w:hAnsi="仿宋_GB2312" w:eastAsia="仿宋_GB2312" w:cs="仿宋_GB2312"/>
                <w:sz w:val="24"/>
              </w:rPr>
              <w:t>开展城乡低保、特困、低收入群体的基本生活救助，及采暖救助、教育救助、电价补贴、临时救助、两节慰问等专项救助，预估累计支出救助资金8亿元。</w:t>
            </w:r>
          </w:p>
        </w:tc>
        <w:tc>
          <w:tcPr>
            <w:tcW w:w="1696" w:type="dxa"/>
          </w:tcPr>
          <w:p w14:paraId="6FAA0134">
            <w:pPr>
              <w:overflowPunct w:val="0"/>
              <w:adjustRightInd w:val="0"/>
              <w:snapToGrid w:val="0"/>
              <w:spacing w:line="560" w:lineRule="exact"/>
              <w:jc w:val="center"/>
              <w:rPr>
                <w:rFonts w:ascii="仿宋_GB2312" w:hAnsi="仿宋_GB2312" w:eastAsia="仿宋_GB2312" w:cs="仿宋_GB2312"/>
                <w:sz w:val="24"/>
              </w:rPr>
            </w:pPr>
            <w:r>
              <w:rPr>
                <w:rFonts w:hint="eastAsia" w:ascii="仿宋_GB2312" w:hAnsi="仿宋_GB2312" w:eastAsia="仿宋_GB2312" w:cs="仿宋_GB2312"/>
                <w:sz w:val="24"/>
              </w:rPr>
              <w:t>逐年开展</w:t>
            </w:r>
          </w:p>
        </w:tc>
      </w:tr>
      <w:tr w14:paraId="0F1C1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59AFE683">
            <w:pPr>
              <w:overflowPunct w:val="0"/>
              <w:adjustRightInd w:val="0"/>
              <w:snapToGrid w:val="0"/>
              <w:spacing w:line="5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w:t>
            </w:r>
          </w:p>
        </w:tc>
        <w:tc>
          <w:tcPr>
            <w:tcW w:w="2212" w:type="dxa"/>
          </w:tcPr>
          <w:p w14:paraId="7030D125">
            <w:pPr>
              <w:overflowPunct w:val="0"/>
              <w:adjustRightInd w:val="0"/>
              <w:snapToGrid w:val="0"/>
              <w:spacing w:line="560" w:lineRule="exact"/>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殡葬惠民项目</w:t>
            </w:r>
          </w:p>
        </w:tc>
        <w:tc>
          <w:tcPr>
            <w:tcW w:w="4330" w:type="dxa"/>
          </w:tcPr>
          <w:p w14:paraId="760E8DF6">
            <w:pPr>
              <w:overflowPunct w:val="0"/>
              <w:adjustRightInd w:val="0"/>
              <w:snapToGrid w:val="0"/>
              <w:spacing w:line="560" w:lineRule="exact"/>
              <w:rPr>
                <w:rFonts w:hint="eastAsia" w:ascii="仿宋_GB2312" w:hAnsi="仿宋_GB2312" w:eastAsia="仿宋_GB2312" w:cs="仿宋_GB2312"/>
                <w:sz w:val="24"/>
                <w:lang w:eastAsia="zh-CN"/>
              </w:rPr>
            </w:pPr>
            <w:r>
              <w:rPr>
                <w:rFonts w:hint="eastAsia" w:ascii="仿宋_GB2312" w:hAnsi="仿宋_GB2312" w:eastAsia="仿宋_GB2312" w:cs="仿宋_GB2312"/>
                <w:sz w:val="24"/>
              </w:rPr>
              <w:t>坚持“公益为本、惠民优先、生态引领、规范管理”的原则，统筹推进殡葬事业转型升级</w:t>
            </w:r>
            <w:r>
              <w:rPr>
                <w:rFonts w:hint="eastAsia" w:ascii="仿宋_GB2312" w:hAnsi="仿宋_GB2312" w:eastAsia="仿宋_GB2312" w:cs="仿宋_GB2312"/>
                <w:sz w:val="24"/>
                <w:lang w:eastAsia="zh-CN"/>
              </w:rPr>
              <w:t>，满足群众多样化、个性化需求。</w:t>
            </w:r>
          </w:p>
        </w:tc>
        <w:tc>
          <w:tcPr>
            <w:tcW w:w="1696" w:type="dxa"/>
          </w:tcPr>
          <w:p w14:paraId="6F775028">
            <w:pPr>
              <w:overflowPunct w:val="0"/>
              <w:adjustRightInd w:val="0"/>
              <w:snapToGrid w:val="0"/>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逐年开展</w:t>
            </w:r>
          </w:p>
        </w:tc>
      </w:tr>
    </w:tbl>
    <w:p w14:paraId="79FF0E93">
      <w:pPr>
        <w:spacing w:line="560" w:lineRule="exact"/>
        <w:rPr>
          <w:rFonts w:ascii="仿宋_GB2312" w:hAnsi="仿宋_GB2312" w:eastAsia="仿宋_GB2312" w:cs="仿宋_GB2312"/>
          <w:sz w:val="32"/>
          <w:szCs w:val="32"/>
        </w:rPr>
      </w:pPr>
    </w:p>
    <w:sectPr>
      <w:headerReference r:id="rId3" w:type="default"/>
      <w:footerReference r:id="rId4" w:type="default"/>
      <w:pgSz w:w="11900" w:h="16840"/>
      <w:pgMar w:top="2098" w:right="1474" w:bottom="1984" w:left="1587"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0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3CF88">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51F117E">
                          <w:pPr>
                            <w:pStyle w:val="9"/>
                            <w:rPr>
                              <w:rFonts w:ascii="仿宋_GB2312" w:hAnsi="仿宋_GB2312" w:eastAsia="仿宋_GB2312" w:cs="仿宋_GB2312"/>
                              <w:sz w:val="21"/>
                              <w:szCs w:val="32"/>
                            </w:rPr>
                          </w:pPr>
                          <w:r>
                            <w:rPr>
                              <w:rFonts w:hint="eastAsia" w:ascii="仿宋_GB2312" w:hAnsi="仿宋_GB2312" w:eastAsia="仿宋_GB2312" w:cs="仿宋_GB2312"/>
                              <w:sz w:val="21"/>
                              <w:szCs w:val="32"/>
                            </w:rPr>
                            <w:fldChar w:fldCharType="begin"/>
                          </w:r>
                          <w:r>
                            <w:rPr>
                              <w:rFonts w:hint="eastAsia" w:ascii="仿宋_GB2312" w:hAnsi="仿宋_GB2312" w:eastAsia="仿宋_GB2312" w:cs="仿宋_GB2312"/>
                              <w:sz w:val="21"/>
                              <w:szCs w:val="32"/>
                            </w:rPr>
                            <w:instrText xml:space="preserve"> PAGE  \* MERGEFORMAT </w:instrText>
                          </w:r>
                          <w:r>
                            <w:rPr>
                              <w:rFonts w:hint="eastAsia" w:ascii="仿宋_GB2312" w:hAnsi="仿宋_GB2312" w:eastAsia="仿宋_GB2312" w:cs="仿宋_GB2312"/>
                              <w:sz w:val="21"/>
                              <w:szCs w:val="32"/>
                            </w:rPr>
                            <w:fldChar w:fldCharType="separate"/>
                          </w:r>
                          <w:r>
                            <w:rPr>
                              <w:rFonts w:ascii="仿宋_GB2312" w:hAnsi="仿宋_GB2312" w:eastAsia="仿宋_GB2312" w:cs="仿宋_GB2312"/>
                              <w:sz w:val="21"/>
                              <w:szCs w:val="32"/>
                            </w:rPr>
                            <w:t>34</w:t>
                          </w:r>
                          <w:r>
                            <w:rPr>
                              <w:rFonts w:hint="eastAsia" w:ascii="仿宋_GB2312" w:hAnsi="仿宋_GB2312" w:eastAsia="仿宋_GB2312" w:cs="仿宋_GB2312"/>
                              <w:sz w:val="21"/>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51F117E">
                    <w:pPr>
                      <w:pStyle w:val="9"/>
                      <w:rPr>
                        <w:rFonts w:ascii="仿宋_GB2312" w:hAnsi="仿宋_GB2312" w:eastAsia="仿宋_GB2312" w:cs="仿宋_GB2312"/>
                        <w:sz w:val="21"/>
                        <w:szCs w:val="32"/>
                      </w:rPr>
                    </w:pPr>
                    <w:r>
                      <w:rPr>
                        <w:rFonts w:hint="eastAsia" w:ascii="仿宋_GB2312" w:hAnsi="仿宋_GB2312" w:eastAsia="仿宋_GB2312" w:cs="仿宋_GB2312"/>
                        <w:sz w:val="21"/>
                        <w:szCs w:val="32"/>
                      </w:rPr>
                      <w:fldChar w:fldCharType="begin"/>
                    </w:r>
                    <w:r>
                      <w:rPr>
                        <w:rFonts w:hint="eastAsia" w:ascii="仿宋_GB2312" w:hAnsi="仿宋_GB2312" w:eastAsia="仿宋_GB2312" w:cs="仿宋_GB2312"/>
                        <w:sz w:val="21"/>
                        <w:szCs w:val="32"/>
                      </w:rPr>
                      <w:instrText xml:space="preserve"> PAGE  \* MERGEFORMAT </w:instrText>
                    </w:r>
                    <w:r>
                      <w:rPr>
                        <w:rFonts w:hint="eastAsia" w:ascii="仿宋_GB2312" w:hAnsi="仿宋_GB2312" w:eastAsia="仿宋_GB2312" w:cs="仿宋_GB2312"/>
                        <w:sz w:val="21"/>
                        <w:szCs w:val="32"/>
                      </w:rPr>
                      <w:fldChar w:fldCharType="separate"/>
                    </w:r>
                    <w:r>
                      <w:rPr>
                        <w:rFonts w:ascii="仿宋_GB2312" w:hAnsi="仿宋_GB2312" w:eastAsia="仿宋_GB2312" w:cs="仿宋_GB2312"/>
                        <w:sz w:val="21"/>
                        <w:szCs w:val="32"/>
                      </w:rPr>
                      <w:t>34</w:t>
                    </w:r>
                    <w:r>
                      <w:rPr>
                        <w:rFonts w:hint="eastAsia" w:ascii="仿宋_GB2312" w:hAnsi="仿宋_GB2312" w:eastAsia="仿宋_GB2312" w:cs="仿宋_GB2312"/>
                        <w:sz w:val="21"/>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C0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9D4631"/>
    <w:multiLevelType w:val="singleLevel"/>
    <w:tmpl w:val="EF9D4631"/>
    <w:lvl w:ilvl="0" w:tentative="0">
      <w:start w:val="2"/>
      <w:numFmt w:val="chineseCounting"/>
      <w:suff w:val="nothing"/>
      <w:lvlText w:val="%1、"/>
      <w:lvlJc w:val="left"/>
      <w:rPr>
        <w:rFonts w:hint="eastAsia"/>
      </w:rPr>
    </w:lvl>
  </w:abstractNum>
  <w:abstractNum w:abstractNumId="1">
    <w:nsid w:val="235F508D"/>
    <w:multiLevelType w:val="singleLevel"/>
    <w:tmpl w:val="235F508D"/>
    <w:lvl w:ilvl="0" w:tentative="0">
      <w:start w:val="11"/>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62D"/>
    <w:rsid w:val="00050FA5"/>
    <w:rsid w:val="0015311C"/>
    <w:rsid w:val="001E3E4C"/>
    <w:rsid w:val="002414D4"/>
    <w:rsid w:val="0026762D"/>
    <w:rsid w:val="002A2CA8"/>
    <w:rsid w:val="00301E8D"/>
    <w:rsid w:val="003423DC"/>
    <w:rsid w:val="00377E6F"/>
    <w:rsid w:val="00400A61"/>
    <w:rsid w:val="00415A53"/>
    <w:rsid w:val="0045419A"/>
    <w:rsid w:val="00484DBA"/>
    <w:rsid w:val="0052267D"/>
    <w:rsid w:val="00526C4D"/>
    <w:rsid w:val="00545685"/>
    <w:rsid w:val="0056547E"/>
    <w:rsid w:val="005738F7"/>
    <w:rsid w:val="005759AB"/>
    <w:rsid w:val="005849F7"/>
    <w:rsid w:val="005B494A"/>
    <w:rsid w:val="005C0020"/>
    <w:rsid w:val="006009E7"/>
    <w:rsid w:val="006317A3"/>
    <w:rsid w:val="00646B5C"/>
    <w:rsid w:val="0066282F"/>
    <w:rsid w:val="00695E6A"/>
    <w:rsid w:val="006D2A98"/>
    <w:rsid w:val="006F7DD5"/>
    <w:rsid w:val="007308E2"/>
    <w:rsid w:val="00762F81"/>
    <w:rsid w:val="00795579"/>
    <w:rsid w:val="007A793C"/>
    <w:rsid w:val="007D10B6"/>
    <w:rsid w:val="008B35AC"/>
    <w:rsid w:val="008E5225"/>
    <w:rsid w:val="00916CA3"/>
    <w:rsid w:val="00A46726"/>
    <w:rsid w:val="00A52B80"/>
    <w:rsid w:val="00A90516"/>
    <w:rsid w:val="00AA282C"/>
    <w:rsid w:val="00AB1181"/>
    <w:rsid w:val="00AB1FF8"/>
    <w:rsid w:val="00B51FBF"/>
    <w:rsid w:val="00BA7352"/>
    <w:rsid w:val="00BD3295"/>
    <w:rsid w:val="00BD424F"/>
    <w:rsid w:val="00C56067"/>
    <w:rsid w:val="00C8730D"/>
    <w:rsid w:val="00D4071E"/>
    <w:rsid w:val="00D93DD6"/>
    <w:rsid w:val="00E00C80"/>
    <w:rsid w:val="00E22ADE"/>
    <w:rsid w:val="00EC15DD"/>
    <w:rsid w:val="00EF41BC"/>
    <w:rsid w:val="00F47169"/>
    <w:rsid w:val="00F60850"/>
    <w:rsid w:val="00F658CC"/>
    <w:rsid w:val="00FA61EB"/>
    <w:rsid w:val="00FA6228"/>
    <w:rsid w:val="01393085"/>
    <w:rsid w:val="01A22C15"/>
    <w:rsid w:val="01AC0D7C"/>
    <w:rsid w:val="020D27DE"/>
    <w:rsid w:val="02431864"/>
    <w:rsid w:val="02473724"/>
    <w:rsid w:val="026B46A5"/>
    <w:rsid w:val="028E76B6"/>
    <w:rsid w:val="02C22903"/>
    <w:rsid w:val="02E524E5"/>
    <w:rsid w:val="02F30C0A"/>
    <w:rsid w:val="0335711E"/>
    <w:rsid w:val="033C3367"/>
    <w:rsid w:val="03507C05"/>
    <w:rsid w:val="03AF63B2"/>
    <w:rsid w:val="03C335C1"/>
    <w:rsid w:val="03CE68FA"/>
    <w:rsid w:val="04293EB0"/>
    <w:rsid w:val="042D3D18"/>
    <w:rsid w:val="04492FAE"/>
    <w:rsid w:val="048D5C16"/>
    <w:rsid w:val="04AA0802"/>
    <w:rsid w:val="05155E5C"/>
    <w:rsid w:val="0539545D"/>
    <w:rsid w:val="056F4FCB"/>
    <w:rsid w:val="05BC7A37"/>
    <w:rsid w:val="05CB5A39"/>
    <w:rsid w:val="05CE6C7E"/>
    <w:rsid w:val="05DC2F28"/>
    <w:rsid w:val="062D7D70"/>
    <w:rsid w:val="06374D78"/>
    <w:rsid w:val="063A55EC"/>
    <w:rsid w:val="06937EFE"/>
    <w:rsid w:val="06BA2C8C"/>
    <w:rsid w:val="06CA0E6E"/>
    <w:rsid w:val="06E61A05"/>
    <w:rsid w:val="06ED0B0A"/>
    <w:rsid w:val="07073E91"/>
    <w:rsid w:val="071464E3"/>
    <w:rsid w:val="0764573B"/>
    <w:rsid w:val="07686F10"/>
    <w:rsid w:val="077C6F79"/>
    <w:rsid w:val="07CB6445"/>
    <w:rsid w:val="07D07D6B"/>
    <w:rsid w:val="0845254C"/>
    <w:rsid w:val="08673B94"/>
    <w:rsid w:val="08867D7A"/>
    <w:rsid w:val="093F6F9B"/>
    <w:rsid w:val="0946090D"/>
    <w:rsid w:val="095A373B"/>
    <w:rsid w:val="09931C8D"/>
    <w:rsid w:val="099826A4"/>
    <w:rsid w:val="09B47EB2"/>
    <w:rsid w:val="09BE425B"/>
    <w:rsid w:val="09D02148"/>
    <w:rsid w:val="0A4E2392"/>
    <w:rsid w:val="0A5E34EE"/>
    <w:rsid w:val="0AAC1113"/>
    <w:rsid w:val="0AE22C92"/>
    <w:rsid w:val="0B494E7A"/>
    <w:rsid w:val="0B641A5B"/>
    <w:rsid w:val="0B9F294D"/>
    <w:rsid w:val="0BDC4F75"/>
    <w:rsid w:val="0BE87E26"/>
    <w:rsid w:val="0BEB4D74"/>
    <w:rsid w:val="0C2204F3"/>
    <w:rsid w:val="0C4D40AC"/>
    <w:rsid w:val="0C4E4BCE"/>
    <w:rsid w:val="0C555481"/>
    <w:rsid w:val="0C58254A"/>
    <w:rsid w:val="0C5F0AB7"/>
    <w:rsid w:val="0C6C6455"/>
    <w:rsid w:val="0C8506CE"/>
    <w:rsid w:val="0CBB4B8B"/>
    <w:rsid w:val="0D3700C3"/>
    <w:rsid w:val="0DA20C61"/>
    <w:rsid w:val="0DE04BD9"/>
    <w:rsid w:val="0E004203"/>
    <w:rsid w:val="0E096E3A"/>
    <w:rsid w:val="0E1E05CF"/>
    <w:rsid w:val="0E323A19"/>
    <w:rsid w:val="0F0942E2"/>
    <w:rsid w:val="0F0E542E"/>
    <w:rsid w:val="0F4E741B"/>
    <w:rsid w:val="0F586100"/>
    <w:rsid w:val="0F870361"/>
    <w:rsid w:val="0FF77CAC"/>
    <w:rsid w:val="0FF929E5"/>
    <w:rsid w:val="10490C73"/>
    <w:rsid w:val="104C2430"/>
    <w:rsid w:val="107F6AC7"/>
    <w:rsid w:val="108F73B0"/>
    <w:rsid w:val="109B7549"/>
    <w:rsid w:val="10A637CD"/>
    <w:rsid w:val="10BE0C2D"/>
    <w:rsid w:val="10DE707B"/>
    <w:rsid w:val="10E61113"/>
    <w:rsid w:val="10E617C4"/>
    <w:rsid w:val="11171912"/>
    <w:rsid w:val="116C3D01"/>
    <w:rsid w:val="119D6F55"/>
    <w:rsid w:val="11A860FC"/>
    <w:rsid w:val="11EC4897"/>
    <w:rsid w:val="11FB3BAE"/>
    <w:rsid w:val="121B634B"/>
    <w:rsid w:val="12301B77"/>
    <w:rsid w:val="123803DA"/>
    <w:rsid w:val="12BD40D5"/>
    <w:rsid w:val="12C4221F"/>
    <w:rsid w:val="13901A4A"/>
    <w:rsid w:val="13C06F2A"/>
    <w:rsid w:val="13D30E9E"/>
    <w:rsid w:val="13F704AD"/>
    <w:rsid w:val="1431104F"/>
    <w:rsid w:val="144E4B97"/>
    <w:rsid w:val="146B64A7"/>
    <w:rsid w:val="14777F31"/>
    <w:rsid w:val="14B915C1"/>
    <w:rsid w:val="14D948BE"/>
    <w:rsid w:val="14EF351A"/>
    <w:rsid w:val="150875F1"/>
    <w:rsid w:val="150A4793"/>
    <w:rsid w:val="15263AAF"/>
    <w:rsid w:val="154C6F2A"/>
    <w:rsid w:val="154E3A4D"/>
    <w:rsid w:val="15503D2D"/>
    <w:rsid w:val="15A452E5"/>
    <w:rsid w:val="15D47A50"/>
    <w:rsid w:val="15DE2644"/>
    <w:rsid w:val="15F22EBA"/>
    <w:rsid w:val="15F44A43"/>
    <w:rsid w:val="16206FC3"/>
    <w:rsid w:val="1644478F"/>
    <w:rsid w:val="16481F75"/>
    <w:rsid w:val="165013EE"/>
    <w:rsid w:val="16626541"/>
    <w:rsid w:val="16B43ACE"/>
    <w:rsid w:val="16E22E36"/>
    <w:rsid w:val="17093D12"/>
    <w:rsid w:val="17B80317"/>
    <w:rsid w:val="17FD373D"/>
    <w:rsid w:val="184B20B1"/>
    <w:rsid w:val="186B56B7"/>
    <w:rsid w:val="18991FAE"/>
    <w:rsid w:val="18F12D3A"/>
    <w:rsid w:val="192B49A3"/>
    <w:rsid w:val="196A7460"/>
    <w:rsid w:val="198147FF"/>
    <w:rsid w:val="198E79BA"/>
    <w:rsid w:val="19A33612"/>
    <w:rsid w:val="19A40786"/>
    <w:rsid w:val="19C33BFB"/>
    <w:rsid w:val="19C411B4"/>
    <w:rsid w:val="19ED111A"/>
    <w:rsid w:val="1A2C499D"/>
    <w:rsid w:val="1A6470F7"/>
    <w:rsid w:val="1A743F51"/>
    <w:rsid w:val="1A8A32DA"/>
    <w:rsid w:val="1AD95CCD"/>
    <w:rsid w:val="1AEC311A"/>
    <w:rsid w:val="1BBF6D32"/>
    <w:rsid w:val="1BD76FE0"/>
    <w:rsid w:val="1C091A91"/>
    <w:rsid w:val="1C4D409C"/>
    <w:rsid w:val="1C4D6F69"/>
    <w:rsid w:val="1C520E80"/>
    <w:rsid w:val="1CB11553"/>
    <w:rsid w:val="1CB64A31"/>
    <w:rsid w:val="1CCF0F0A"/>
    <w:rsid w:val="1CD76B39"/>
    <w:rsid w:val="1D0C028C"/>
    <w:rsid w:val="1D3B79BC"/>
    <w:rsid w:val="1D3D1E6D"/>
    <w:rsid w:val="1D465C9B"/>
    <w:rsid w:val="1D8E40E7"/>
    <w:rsid w:val="1D9172C5"/>
    <w:rsid w:val="1DAF17FD"/>
    <w:rsid w:val="1DC00D58"/>
    <w:rsid w:val="1DEC5DF1"/>
    <w:rsid w:val="1DF0182A"/>
    <w:rsid w:val="1DFA7EFC"/>
    <w:rsid w:val="1E0C087B"/>
    <w:rsid w:val="1E404163"/>
    <w:rsid w:val="1E9F7A6C"/>
    <w:rsid w:val="1EDA17E8"/>
    <w:rsid w:val="1EE0418E"/>
    <w:rsid w:val="1EFA68B2"/>
    <w:rsid w:val="1EFE1036"/>
    <w:rsid w:val="1F0830E7"/>
    <w:rsid w:val="1F0B3A21"/>
    <w:rsid w:val="1F262D0B"/>
    <w:rsid w:val="1F33576A"/>
    <w:rsid w:val="1F446C62"/>
    <w:rsid w:val="1FA55669"/>
    <w:rsid w:val="1FD24A4F"/>
    <w:rsid w:val="1FF7610F"/>
    <w:rsid w:val="203E0B99"/>
    <w:rsid w:val="20617FFF"/>
    <w:rsid w:val="206B4E99"/>
    <w:rsid w:val="20A002CE"/>
    <w:rsid w:val="20B54E90"/>
    <w:rsid w:val="20D47169"/>
    <w:rsid w:val="20F20189"/>
    <w:rsid w:val="216E5FE8"/>
    <w:rsid w:val="22426C5F"/>
    <w:rsid w:val="22677590"/>
    <w:rsid w:val="22755C48"/>
    <w:rsid w:val="227C6E4D"/>
    <w:rsid w:val="22EF667E"/>
    <w:rsid w:val="22F75AC8"/>
    <w:rsid w:val="2328689A"/>
    <w:rsid w:val="2333052C"/>
    <w:rsid w:val="23353F34"/>
    <w:rsid w:val="2336193C"/>
    <w:rsid w:val="238F0F99"/>
    <w:rsid w:val="239C0991"/>
    <w:rsid w:val="23AC231B"/>
    <w:rsid w:val="23B41550"/>
    <w:rsid w:val="23E71A02"/>
    <w:rsid w:val="24010C3A"/>
    <w:rsid w:val="240C47E1"/>
    <w:rsid w:val="24322993"/>
    <w:rsid w:val="245673C2"/>
    <w:rsid w:val="246404FC"/>
    <w:rsid w:val="2466777B"/>
    <w:rsid w:val="246C112E"/>
    <w:rsid w:val="24764C2E"/>
    <w:rsid w:val="247F427C"/>
    <w:rsid w:val="249F06E1"/>
    <w:rsid w:val="24A73822"/>
    <w:rsid w:val="24B369D8"/>
    <w:rsid w:val="24C565A9"/>
    <w:rsid w:val="25396253"/>
    <w:rsid w:val="253B28B5"/>
    <w:rsid w:val="255418A8"/>
    <w:rsid w:val="2554547A"/>
    <w:rsid w:val="25921824"/>
    <w:rsid w:val="25DA3E7C"/>
    <w:rsid w:val="26041258"/>
    <w:rsid w:val="26094650"/>
    <w:rsid w:val="262034B9"/>
    <w:rsid w:val="263A46E1"/>
    <w:rsid w:val="26501809"/>
    <w:rsid w:val="27750A86"/>
    <w:rsid w:val="27752414"/>
    <w:rsid w:val="2792235B"/>
    <w:rsid w:val="279F67BE"/>
    <w:rsid w:val="27B02D0E"/>
    <w:rsid w:val="27E27857"/>
    <w:rsid w:val="280C4ECD"/>
    <w:rsid w:val="281100C9"/>
    <w:rsid w:val="284B718F"/>
    <w:rsid w:val="28603BD3"/>
    <w:rsid w:val="287B14AA"/>
    <w:rsid w:val="289A61A7"/>
    <w:rsid w:val="28A655A4"/>
    <w:rsid w:val="28BF481A"/>
    <w:rsid w:val="28CB19DB"/>
    <w:rsid w:val="28E94228"/>
    <w:rsid w:val="2913514C"/>
    <w:rsid w:val="291E65AF"/>
    <w:rsid w:val="29657F6D"/>
    <w:rsid w:val="297D0571"/>
    <w:rsid w:val="29B54FEE"/>
    <w:rsid w:val="29C714A3"/>
    <w:rsid w:val="2A1D1549"/>
    <w:rsid w:val="2A672B4F"/>
    <w:rsid w:val="2A76640F"/>
    <w:rsid w:val="2AA43A13"/>
    <w:rsid w:val="2AA749DE"/>
    <w:rsid w:val="2AB00407"/>
    <w:rsid w:val="2ACB0B6E"/>
    <w:rsid w:val="2B3435E4"/>
    <w:rsid w:val="2B783D3F"/>
    <w:rsid w:val="2C4A65A9"/>
    <w:rsid w:val="2CCE0ED5"/>
    <w:rsid w:val="2D55796B"/>
    <w:rsid w:val="2DBE22D5"/>
    <w:rsid w:val="2DDB6983"/>
    <w:rsid w:val="2E017DC1"/>
    <w:rsid w:val="2E287377"/>
    <w:rsid w:val="2EC37C5E"/>
    <w:rsid w:val="2EF84F00"/>
    <w:rsid w:val="2EFC2C0F"/>
    <w:rsid w:val="2F02792B"/>
    <w:rsid w:val="2F9E5FA3"/>
    <w:rsid w:val="2FB12EFF"/>
    <w:rsid w:val="2FBA6634"/>
    <w:rsid w:val="2FD73901"/>
    <w:rsid w:val="2FDD5B64"/>
    <w:rsid w:val="301A5025"/>
    <w:rsid w:val="302F1BC9"/>
    <w:rsid w:val="303E2B32"/>
    <w:rsid w:val="308C66BA"/>
    <w:rsid w:val="3094583F"/>
    <w:rsid w:val="30A96D4A"/>
    <w:rsid w:val="30AA3DBF"/>
    <w:rsid w:val="31272DB3"/>
    <w:rsid w:val="313A0226"/>
    <w:rsid w:val="315B4ED5"/>
    <w:rsid w:val="315C0068"/>
    <w:rsid w:val="319A122D"/>
    <w:rsid w:val="31FA2148"/>
    <w:rsid w:val="31FF7B84"/>
    <w:rsid w:val="320F74C2"/>
    <w:rsid w:val="32300855"/>
    <w:rsid w:val="32D33716"/>
    <w:rsid w:val="32DE6AEA"/>
    <w:rsid w:val="32DF3905"/>
    <w:rsid w:val="333A5091"/>
    <w:rsid w:val="33420D3A"/>
    <w:rsid w:val="337F42B4"/>
    <w:rsid w:val="33A36111"/>
    <w:rsid w:val="33BB528F"/>
    <w:rsid w:val="33BF6FAD"/>
    <w:rsid w:val="34190362"/>
    <w:rsid w:val="34D22A5F"/>
    <w:rsid w:val="355B1BB7"/>
    <w:rsid w:val="35610E32"/>
    <w:rsid w:val="35CB6614"/>
    <w:rsid w:val="360A0CC8"/>
    <w:rsid w:val="365560AB"/>
    <w:rsid w:val="365A00A4"/>
    <w:rsid w:val="36880468"/>
    <w:rsid w:val="368E119A"/>
    <w:rsid w:val="36A24493"/>
    <w:rsid w:val="36A81BA2"/>
    <w:rsid w:val="37122244"/>
    <w:rsid w:val="37403BAD"/>
    <w:rsid w:val="37577CFA"/>
    <w:rsid w:val="375D490D"/>
    <w:rsid w:val="37764E62"/>
    <w:rsid w:val="37E54A09"/>
    <w:rsid w:val="381C1733"/>
    <w:rsid w:val="38284F1B"/>
    <w:rsid w:val="38351FDB"/>
    <w:rsid w:val="38511082"/>
    <w:rsid w:val="388C0835"/>
    <w:rsid w:val="38941E44"/>
    <w:rsid w:val="389A072F"/>
    <w:rsid w:val="38D544D2"/>
    <w:rsid w:val="390F69DB"/>
    <w:rsid w:val="391169DB"/>
    <w:rsid w:val="391F48DE"/>
    <w:rsid w:val="39234A2C"/>
    <w:rsid w:val="39241DB7"/>
    <w:rsid w:val="39316948"/>
    <w:rsid w:val="394208B3"/>
    <w:rsid w:val="39A73120"/>
    <w:rsid w:val="39D6375E"/>
    <w:rsid w:val="39D90B6D"/>
    <w:rsid w:val="39F21871"/>
    <w:rsid w:val="3A483833"/>
    <w:rsid w:val="3A80150E"/>
    <w:rsid w:val="3A8E7C12"/>
    <w:rsid w:val="3A9026A0"/>
    <w:rsid w:val="3A92253B"/>
    <w:rsid w:val="3A9248CD"/>
    <w:rsid w:val="3ACD464C"/>
    <w:rsid w:val="3AD770ED"/>
    <w:rsid w:val="3B0A23E1"/>
    <w:rsid w:val="3B0D4977"/>
    <w:rsid w:val="3B133346"/>
    <w:rsid w:val="3B365B15"/>
    <w:rsid w:val="3B4F1FF4"/>
    <w:rsid w:val="3B4F5A68"/>
    <w:rsid w:val="3B594EB3"/>
    <w:rsid w:val="3B895C51"/>
    <w:rsid w:val="3B8F1B5F"/>
    <w:rsid w:val="3BA94DDA"/>
    <w:rsid w:val="3BD86AFA"/>
    <w:rsid w:val="3C2F5A85"/>
    <w:rsid w:val="3C951A3E"/>
    <w:rsid w:val="3C9B6FE1"/>
    <w:rsid w:val="3CBC0E9A"/>
    <w:rsid w:val="3CD5500F"/>
    <w:rsid w:val="3CE4220C"/>
    <w:rsid w:val="3CEC6921"/>
    <w:rsid w:val="3D0B03B0"/>
    <w:rsid w:val="3DA53113"/>
    <w:rsid w:val="3DB2326E"/>
    <w:rsid w:val="3DC53420"/>
    <w:rsid w:val="3DFA4DBC"/>
    <w:rsid w:val="3E1C5F82"/>
    <w:rsid w:val="3E1C72D0"/>
    <w:rsid w:val="3E232D24"/>
    <w:rsid w:val="3E6F4D7B"/>
    <w:rsid w:val="3E916E83"/>
    <w:rsid w:val="3E9F6BB4"/>
    <w:rsid w:val="3EA163BC"/>
    <w:rsid w:val="3EA2695F"/>
    <w:rsid w:val="3F386C54"/>
    <w:rsid w:val="3F3F2CDA"/>
    <w:rsid w:val="3F620087"/>
    <w:rsid w:val="3F762840"/>
    <w:rsid w:val="3FA5600E"/>
    <w:rsid w:val="3FBF78C6"/>
    <w:rsid w:val="3FC3589A"/>
    <w:rsid w:val="406C60C2"/>
    <w:rsid w:val="407B61A9"/>
    <w:rsid w:val="408C482D"/>
    <w:rsid w:val="40957B6F"/>
    <w:rsid w:val="40C7690A"/>
    <w:rsid w:val="40D514AA"/>
    <w:rsid w:val="40E7504C"/>
    <w:rsid w:val="40F24180"/>
    <w:rsid w:val="411F61B5"/>
    <w:rsid w:val="412050D6"/>
    <w:rsid w:val="413C5906"/>
    <w:rsid w:val="415E3256"/>
    <w:rsid w:val="416543DF"/>
    <w:rsid w:val="41861E2A"/>
    <w:rsid w:val="41B16B47"/>
    <w:rsid w:val="42092CD9"/>
    <w:rsid w:val="420D100F"/>
    <w:rsid w:val="42135A61"/>
    <w:rsid w:val="428529D7"/>
    <w:rsid w:val="4285742F"/>
    <w:rsid w:val="42964427"/>
    <w:rsid w:val="42995395"/>
    <w:rsid w:val="43150DA9"/>
    <w:rsid w:val="432B3B11"/>
    <w:rsid w:val="432B4CDB"/>
    <w:rsid w:val="432E6DC0"/>
    <w:rsid w:val="43384B5D"/>
    <w:rsid w:val="434957CA"/>
    <w:rsid w:val="43664AEC"/>
    <w:rsid w:val="436B2151"/>
    <w:rsid w:val="43AC78EF"/>
    <w:rsid w:val="43C95E9E"/>
    <w:rsid w:val="43CC3B67"/>
    <w:rsid w:val="44132376"/>
    <w:rsid w:val="442F4929"/>
    <w:rsid w:val="44354F47"/>
    <w:rsid w:val="4475252B"/>
    <w:rsid w:val="44965DA0"/>
    <w:rsid w:val="44A05976"/>
    <w:rsid w:val="44D7473B"/>
    <w:rsid w:val="44DB60FB"/>
    <w:rsid w:val="44F87A23"/>
    <w:rsid w:val="45946E0B"/>
    <w:rsid w:val="45C96C6A"/>
    <w:rsid w:val="45DC605B"/>
    <w:rsid w:val="46176160"/>
    <w:rsid w:val="46355BE0"/>
    <w:rsid w:val="46550B20"/>
    <w:rsid w:val="46875BAA"/>
    <w:rsid w:val="46CC6D18"/>
    <w:rsid w:val="46DC3789"/>
    <w:rsid w:val="47194F8B"/>
    <w:rsid w:val="472500E5"/>
    <w:rsid w:val="47287E78"/>
    <w:rsid w:val="473C6073"/>
    <w:rsid w:val="476836D5"/>
    <w:rsid w:val="47717D7E"/>
    <w:rsid w:val="47753D3C"/>
    <w:rsid w:val="4777717E"/>
    <w:rsid w:val="47F05BB0"/>
    <w:rsid w:val="47FD3CCE"/>
    <w:rsid w:val="48017E6F"/>
    <w:rsid w:val="482E17BC"/>
    <w:rsid w:val="48AC04A0"/>
    <w:rsid w:val="48FE641B"/>
    <w:rsid w:val="490C6FB5"/>
    <w:rsid w:val="492011F6"/>
    <w:rsid w:val="492A795F"/>
    <w:rsid w:val="49474D3B"/>
    <w:rsid w:val="496B2776"/>
    <w:rsid w:val="49802F9D"/>
    <w:rsid w:val="49A01757"/>
    <w:rsid w:val="49A56621"/>
    <w:rsid w:val="49AE25D7"/>
    <w:rsid w:val="49E9403A"/>
    <w:rsid w:val="4A095239"/>
    <w:rsid w:val="4A1448A8"/>
    <w:rsid w:val="4A400990"/>
    <w:rsid w:val="4A513720"/>
    <w:rsid w:val="4A53000B"/>
    <w:rsid w:val="4A534AC0"/>
    <w:rsid w:val="4A600544"/>
    <w:rsid w:val="4AB368C6"/>
    <w:rsid w:val="4AC63936"/>
    <w:rsid w:val="4AD672FD"/>
    <w:rsid w:val="4AF26418"/>
    <w:rsid w:val="4B5512E3"/>
    <w:rsid w:val="4B7C315C"/>
    <w:rsid w:val="4B7F5E95"/>
    <w:rsid w:val="4B9451F7"/>
    <w:rsid w:val="4BAD143A"/>
    <w:rsid w:val="4BF73B96"/>
    <w:rsid w:val="4BFC3283"/>
    <w:rsid w:val="4C140223"/>
    <w:rsid w:val="4C1D4C33"/>
    <w:rsid w:val="4C2472BF"/>
    <w:rsid w:val="4C405947"/>
    <w:rsid w:val="4C723316"/>
    <w:rsid w:val="4C9B15B0"/>
    <w:rsid w:val="4CCC2AA1"/>
    <w:rsid w:val="4CE11BCD"/>
    <w:rsid w:val="4CE66724"/>
    <w:rsid w:val="4D0758C8"/>
    <w:rsid w:val="4D493DD6"/>
    <w:rsid w:val="4D5F58DD"/>
    <w:rsid w:val="4D8307AC"/>
    <w:rsid w:val="4D956625"/>
    <w:rsid w:val="4DE907FF"/>
    <w:rsid w:val="4E32186C"/>
    <w:rsid w:val="4E8D1B77"/>
    <w:rsid w:val="4EBF261B"/>
    <w:rsid w:val="4ED24AEA"/>
    <w:rsid w:val="4EFD61AB"/>
    <w:rsid w:val="4F632EA9"/>
    <w:rsid w:val="4F8079C3"/>
    <w:rsid w:val="4F8857DC"/>
    <w:rsid w:val="4F972400"/>
    <w:rsid w:val="4FA10D07"/>
    <w:rsid w:val="4FCC0047"/>
    <w:rsid w:val="5008372D"/>
    <w:rsid w:val="50505353"/>
    <w:rsid w:val="507F27D7"/>
    <w:rsid w:val="50A20F11"/>
    <w:rsid w:val="50EF0D23"/>
    <w:rsid w:val="50F427ED"/>
    <w:rsid w:val="5108357F"/>
    <w:rsid w:val="513A2175"/>
    <w:rsid w:val="517B0DFA"/>
    <w:rsid w:val="518B1AF1"/>
    <w:rsid w:val="519E6AE1"/>
    <w:rsid w:val="51EF297C"/>
    <w:rsid w:val="521F72B1"/>
    <w:rsid w:val="524D04E8"/>
    <w:rsid w:val="526D11CE"/>
    <w:rsid w:val="52BF4724"/>
    <w:rsid w:val="52E34F26"/>
    <w:rsid w:val="52EA1613"/>
    <w:rsid w:val="53023B19"/>
    <w:rsid w:val="530315CC"/>
    <w:rsid w:val="532027A1"/>
    <w:rsid w:val="53665CFD"/>
    <w:rsid w:val="53730188"/>
    <w:rsid w:val="537662DC"/>
    <w:rsid w:val="53E848B5"/>
    <w:rsid w:val="54213733"/>
    <w:rsid w:val="545F274B"/>
    <w:rsid w:val="549C214D"/>
    <w:rsid w:val="54A2700C"/>
    <w:rsid w:val="54F058EE"/>
    <w:rsid w:val="552B1A30"/>
    <w:rsid w:val="553052C0"/>
    <w:rsid w:val="55445BDD"/>
    <w:rsid w:val="55BB25D7"/>
    <w:rsid w:val="5636741B"/>
    <w:rsid w:val="56405122"/>
    <w:rsid w:val="56833D80"/>
    <w:rsid w:val="56863987"/>
    <w:rsid w:val="56995D14"/>
    <w:rsid w:val="57116216"/>
    <w:rsid w:val="571A3C3F"/>
    <w:rsid w:val="57253EBB"/>
    <w:rsid w:val="573174F0"/>
    <w:rsid w:val="57392849"/>
    <w:rsid w:val="57480C8C"/>
    <w:rsid w:val="57783338"/>
    <w:rsid w:val="579A7C20"/>
    <w:rsid w:val="579C1CF8"/>
    <w:rsid w:val="579E01E8"/>
    <w:rsid w:val="57A879E1"/>
    <w:rsid w:val="580C511C"/>
    <w:rsid w:val="58364C0A"/>
    <w:rsid w:val="58380B65"/>
    <w:rsid w:val="584119B5"/>
    <w:rsid w:val="58730A25"/>
    <w:rsid w:val="58BB24BA"/>
    <w:rsid w:val="58DC7930"/>
    <w:rsid w:val="58F9336B"/>
    <w:rsid w:val="59016082"/>
    <w:rsid w:val="59126EAD"/>
    <w:rsid w:val="5923338D"/>
    <w:rsid w:val="594103FE"/>
    <w:rsid w:val="598E2878"/>
    <w:rsid w:val="59AD5CD3"/>
    <w:rsid w:val="59BE5826"/>
    <w:rsid w:val="59C0360D"/>
    <w:rsid w:val="59C903AC"/>
    <w:rsid w:val="59D5453A"/>
    <w:rsid w:val="59D830CD"/>
    <w:rsid w:val="59EF1EA2"/>
    <w:rsid w:val="59FE1B59"/>
    <w:rsid w:val="5A0B1AFB"/>
    <w:rsid w:val="5A3D3D89"/>
    <w:rsid w:val="5A555F79"/>
    <w:rsid w:val="5ABC0C5C"/>
    <w:rsid w:val="5AC5316E"/>
    <w:rsid w:val="5B5E4C66"/>
    <w:rsid w:val="5B835C9F"/>
    <w:rsid w:val="5BAD67C2"/>
    <w:rsid w:val="5BB216A4"/>
    <w:rsid w:val="5BC1664E"/>
    <w:rsid w:val="5BC70423"/>
    <w:rsid w:val="5BE734DC"/>
    <w:rsid w:val="5BE958E8"/>
    <w:rsid w:val="5C230071"/>
    <w:rsid w:val="5C2F1851"/>
    <w:rsid w:val="5C520714"/>
    <w:rsid w:val="5CC22998"/>
    <w:rsid w:val="5CC62FA9"/>
    <w:rsid w:val="5D1132AE"/>
    <w:rsid w:val="5DE12522"/>
    <w:rsid w:val="5DE729FB"/>
    <w:rsid w:val="5DEC23C3"/>
    <w:rsid w:val="5E081CB3"/>
    <w:rsid w:val="5E15102C"/>
    <w:rsid w:val="5E1B6E61"/>
    <w:rsid w:val="5E8821EA"/>
    <w:rsid w:val="5E9B5211"/>
    <w:rsid w:val="5E9B6F17"/>
    <w:rsid w:val="5EB85711"/>
    <w:rsid w:val="5EE368CD"/>
    <w:rsid w:val="5EEB267A"/>
    <w:rsid w:val="5EEC7732"/>
    <w:rsid w:val="5F984A68"/>
    <w:rsid w:val="5FBF39A1"/>
    <w:rsid w:val="60052AB2"/>
    <w:rsid w:val="60860B1D"/>
    <w:rsid w:val="60BA4E26"/>
    <w:rsid w:val="612754C0"/>
    <w:rsid w:val="612C3FFB"/>
    <w:rsid w:val="615A3FBB"/>
    <w:rsid w:val="61810A9B"/>
    <w:rsid w:val="624D069B"/>
    <w:rsid w:val="624F1CFB"/>
    <w:rsid w:val="629A3EA0"/>
    <w:rsid w:val="629F3813"/>
    <w:rsid w:val="62BA2508"/>
    <w:rsid w:val="62CB686D"/>
    <w:rsid w:val="62F81FED"/>
    <w:rsid w:val="62FD536F"/>
    <w:rsid w:val="63024D1C"/>
    <w:rsid w:val="63420DA8"/>
    <w:rsid w:val="641E6823"/>
    <w:rsid w:val="643F17E2"/>
    <w:rsid w:val="648F60EA"/>
    <w:rsid w:val="64A47E50"/>
    <w:rsid w:val="64E30B54"/>
    <w:rsid w:val="64EB774C"/>
    <w:rsid w:val="6535041B"/>
    <w:rsid w:val="65B7141E"/>
    <w:rsid w:val="65BE0031"/>
    <w:rsid w:val="66080B7F"/>
    <w:rsid w:val="660F2580"/>
    <w:rsid w:val="66236572"/>
    <w:rsid w:val="66287AC2"/>
    <w:rsid w:val="663C1A0D"/>
    <w:rsid w:val="665A4C6F"/>
    <w:rsid w:val="665E0EDD"/>
    <w:rsid w:val="6666025C"/>
    <w:rsid w:val="667D4FE3"/>
    <w:rsid w:val="66A274E3"/>
    <w:rsid w:val="66AF4D77"/>
    <w:rsid w:val="66B66C23"/>
    <w:rsid w:val="66D1294E"/>
    <w:rsid w:val="66DC2D29"/>
    <w:rsid w:val="66F27E4E"/>
    <w:rsid w:val="67002405"/>
    <w:rsid w:val="67597F99"/>
    <w:rsid w:val="67692374"/>
    <w:rsid w:val="677069A6"/>
    <w:rsid w:val="677D6F36"/>
    <w:rsid w:val="6788747A"/>
    <w:rsid w:val="67AA678E"/>
    <w:rsid w:val="67BC3AEE"/>
    <w:rsid w:val="67D2390A"/>
    <w:rsid w:val="680167F2"/>
    <w:rsid w:val="681841F5"/>
    <w:rsid w:val="68753D8F"/>
    <w:rsid w:val="688A7381"/>
    <w:rsid w:val="68BD681D"/>
    <w:rsid w:val="68BE0B4F"/>
    <w:rsid w:val="68CE6E31"/>
    <w:rsid w:val="69402E08"/>
    <w:rsid w:val="696222B3"/>
    <w:rsid w:val="69754F0F"/>
    <w:rsid w:val="69771AD9"/>
    <w:rsid w:val="69A63738"/>
    <w:rsid w:val="69AC2A06"/>
    <w:rsid w:val="69C04704"/>
    <w:rsid w:val="69D2071A"/>
    <w:rsid w:val="69ED301C"/>
    <w:rsid w:val="69F2768F"/>
    <w:rsid w:val="6A621273"/>
    <w:rsid w:val="6AF61E8E"/>
    <w:rsid w:val="6BF862E5"/>
    <w:rsid w:val="6BFE3EA9"/>
    <w:rsid w:val="6C1A0A9D"/>
    <w:rsid w:val="6C4A27EB"/>
    <w:rsid w:val="6CA64EE1"/>
    <w:rsid w:val="6CA74746"/>
    <w:rsid w:val="6CDA1832"/>
    <w:rsid w:val="6CEA1ED1"/>
    <w:rsid w:val="6CF75D69"/>
    <w:rsid w:val="6CFB0291"/>
    <w:rsid w:val="6CFE27F4"/>
    <w:rsid w:val="6D5E428B"/>
    <w:rsid w:val="6D8659C2"/>
    <w:rsid w:val="6DA447D8"/>
    <w:rsid w:val="6DBF4E0E"/>
    <w:rsid w:val="6DF26B96"/>
    <w:rsid w:val="6DFB41DF"/>
    <w:rsid w:val="6E0D7BAB"/>
    <w:rsid w:val="6E5215D1"/>
    <w:rsid w:val="6E555C92"/>
    <w:rsid w:val="6E73709E"/>
    <w:rsid w:val="6E9433EA"/>
    <w:rsid w:val="6F3277A9"/>
    <w:rsid w:val="6F484F7F"/>
    <w:rsid w:val="6F6763B4"/>
    <w:rsid w:val="6FBB39A3"/>
    <w:rsid w:val="6FBF6F46"/>
    <w:rsid w:val="6FFD00EB"/>
    <w:rsid w:val="70527A07"/>
    <w:rsid w:val="70577B9D"/>
    <w:rsid w:val="70791058"/>
    <w:rsid w:val="7079145C"/>
    <w:rsid w:val="70806337"/>
    <w:rsid w:val="70883DAD"/>
    <w:rsid w:val="70E913C7"/>
    <w:rsid w:val="713025AB"/>
    <w:rsid w:val="71305692"/>
    <w:rsid w:val="714D5533"/>
    <w:rsid w:val="71A05546"/>
    <w:rsid w:val="71BE6F65"/>
    <w:rsid w:val="71EF2480"/>
    <w:rsid w:val="7272477A"/>
    <w:rsid w:val="728A3483"/>
    <w:rsid w:val="72B70170"/>
    <w:rsid w:val="73024D3F"/>
    <w:rsid w:val="732670CE"/>
    <w:rsid w:val="732C403A"/>
    <w:rsid w:val="73571503"/>
    <w:rsid w:val="735B3D8A"/>
    <w:rsid w:val="735F276C"/>
    <w:rsid w:val="738B5FC8"/>
    <w:rsid w:val="738E38AB"/>
    <w:rsid w:val="73A73A62"/>
    <w:rsid w:val="73DE7CB7"/>
    <w:rsid w:val="741330DB"/>
    <w:rsid w:val="746B74FC"/>
    <w:rsid w:val="74776515"/>
    <w:rsid w:val="74B33E59"/>
    <w:rsid w:val="74BC421F"/>
    <w:rsid w:val="74C86747"/>
    <w:rsid w:val="74F059B2"/>
    <w:rsid w:val="753F6E24"/>
    <w:rsid w:val="756F0FE8"/>
    <w:rsid w:val="75714711"/>
    <w:rsid w:val="75762166"/>
    <w:rsid w:val="758551B5"/>
    <w:rsid w:val="75893BE2"/>
    <w:rsid w:val="75BF526C"/>
    <w:rsid w:val="75D074D4"/>
    <w:rsid w:val="75E12667"/>
    <w:rsid w:val="7625788A"/>
    <w:rsid w:val="764010A6"/>
    <w:rsid w:val="765B74C1"/>
    <w:rsid w:val="7667108E"/>
    <w:rsid w:val="76CD01E7"/>
    <w:rsid w:val="76FF2570"/>
    <w:rsid w:val="770060B5"/>
    <w:rsid w:val="77171A0D"/>
    <w:rsid w:val="77306BA0"/>
    <w:rsid w:val="783C1582"/>
    <w:rsid w:val="785E7DE6"/>
    <w:rsid w:val="787200F7"/>
    <w:rsid w:val="78935267"/>
    <w:rsid w:val="789C3D4C"/>
    <w:rsid w:val="78C748F1"/>
    <w:rsid w:val="78D26A31"/>
    <w:rsid w:val="78DB6681"/>
    <w:rsid w:val="79B6367C"/>
    <w:rsid w:val="79D97847"/>
    <w:rsid w:val="79DD6C0C"/>
    <w:rsid w:val="79E36D48"/>
    <w:rsid w:val="79EF350E"/>
    <w:rsid w:val="79F2263F"/>
    <w:rsid w:val="79F55F74"/>
    <w:rsid w:val="7A0E1383"/>
    <w:rsid w:val="7A3C6215"/>
    <w:rsid w:val="7A740CA9"/>
    <w:rsid w:val="7B513F10"/>
    <w:rsid w:val="7B5E1A51"/>
    <w:rsid w:val="7B6B3165"/>
    <w:rsid w:val="7B7B2532"/>
    <w:rsid w:val="7BA21EBB"/>
    <w:rsid w:val="7BA64ECC"/>
    <w:rsid w:val="7BB756E4"/>
    <w:rsid w:val="7BCB6E3C"/>
    <w:rsid w:val="7BDE06D2"/>
    <w:rsid w:val="7C086019"/>
    <w:rsid w:val="7C550463"/>
    <w:rsid w:val="7C8C0A8D"/>
    <w:rsid w:val="7CA51C63"/>
    <w:rsid w:val="7CAA3657"/>
    <w:rsid w:val="7CFF249A"/>
    <w:rsid w:val="7D167BB0"/>
    <w:rsid w:val="7D2111DF"/>
    <w:rsid w:val="7D2232B3"/>
    <w:rsid w:val="7D6C69E5"/>
    <w:rsid w:val="7D7631CF"/>
    <w:rsid w:val="7DA06444"/>
    <w:rsid w:val="7E0F7ECD"/>
    <w:rsid w:val="7E1E4FAA"/>
    <w:rsid w:val="7E204BA1"/>
    <w:rsid w:val="7E3000B7"/>
    <w:rsid w:val="7E39619D"/>
    <w:rsid w:val="7E555641"/>
    <w:rsid w:val="7E920ABE"/>
    <w:rsid w:val="7EA05644"/>
    <w:rsid w:val="7EC545BF"/>
    <w:rsid w:val="7EE724D5"/>
    <w:rsid w:val="7F0F1615"/>
    <w:rsid w:val="7FAD2B87"/>
    <w:rsid w:val="7FDA25B8"/>
    <w:rsid w:val="7FF20934"/>
    <w:rsid w:val="EDEFC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3"/>
    <w:qFormat/>
    <w:uiPriority w:val="9"/>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unhideWhenUsed/>
    <w:qFormat/>
    <w:uiPriority w:val="0"/>
    <w:pPr>
      <w:keepNext/>
      <w:keepLines/>
      <w:spacing w:line="560" w:lineRule="exact"/>
      <w:ind w:firstLine="200" w:firstLineChars="200"/>
      <w:outlineLvl w:val="1"/>
    </w:pPr>
    <w:rPr>
      <w:rFonts w:ascii="等线 Light" w:hAnsi="等线 Light" w:eastAsia="楷体_GB2312"/>
      <w:bCs/>
      <w:kern w:val="0"/>
      <w:sz w:val="32"/>
      <w:szCs w:val="32"/>
    </w:rPr>
  </w:style>
  <w:style w:type="paragraph" w:styleId="4">
    <w:name w:val="heading 3"/>
    <w:basedOn w:val="1"/>
    <w:next w:val="1"/>
    <w:link w:val="31"/>
    <w:qFormat/>
    <w:uiPriority w:val="9"/>
    <w:pPr>
      <w:keepNext/>
      <w:keepLines/>
      <w:spacing w:before="260" w:after="260" w:line="413" w:lineRule="auto"/>
      <w:outlineLvl w:val="2"/>
    </w:pPr>
    <w:rPr>
      <w:b/>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unhideWhenUsed/>
    <w:qFormat/>
    <w:uiPriority w:val="99"/>
    <w:pPr>
      <w:ind w:firstLine="420"/>
    </w:pPr>
    <w:rPr>
      <w:szCs w:val="20"/>
    </w:rPr>
  </w:style>
  <w:style w:type="paragraph" w:styleId="6">
    <w:name w:val="Body Text"/>
    <w:basedOn w:val="1"/>
    <w:next w:val="7"/>
    <w:unhideWhenUsed/>
    <w:qFormat/>
    <w:uiPriority w:val="99"/>
    <w:pPr>
      <w:spacing w:line="300" w:lineRule="atLeast"/>
      <w:jc w:val="center"/>
    </w:pPr>
    <w:rPr>
      <w:rFonts w:ascii="Times New Roman" w:hAnsi="Times New Roman" w:eastAsia="Times New Roman" w:cs="Times New Roman"/>
      <w:color w:val="000000"/>
      <w:sz w:val="44"/>
      <w:szCs w:val="20"/>
    </w:rPr>
  </w:style>
  <w:style w:type="paragraph" w:customStyle="1" w:styleId="7">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8">
    <w:name w:val="Plain Text"/>
    <w:basedOn w:val="1"/>
    <w:next w:val="1"/>
    <w:qFormat/>
    <w:uiPriority w:val="0"/>
    <w:pPr>
      <w:suppressAutoHyphens/>
    </w:pPr>
    <w:rPr>
      <w:rFonts w:ascii="宋体" w:hAnsi="Courier New" w:eastAsia="宋体" w:cs="Times New Roman"/>
    </w:rPr>
  </w:style>
  <w:style w:type="paragraph" w:styleId="9">
    <w:name w:val="footer"/>
    <w:basedOn w:val="1"/>
    <w:unhideWhenUsed/>
    <w:qFormat/>
    <w:uiPriority w:val="99"/>
    <w:pPr>
      <w:tabs>
        <w:tab w:val="center" w:pos="4153"/>
        <w:tab w:val="right" w:pos="8306"/>
      </w:tabs>
      <w:snapToGrid w:val="0"/>
      <w:jc w:val="left"/>
    </w:pPr>
    <w:rPr>
      <w:sz w:val="18"/>
    </w:rPr>
  </w:style>
  <w:style w:type="paragraph" w:styleId="10">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style>
  <w:style w:type="paragraph" w:styleId="12">
    <w:name w:val="index 9"/>
    <w:next w:val="1"/>
    <w:qFormat/>
    <w:uiPriority w:val="99"/>
    <w:pPr>
      <w:widowControl w:val="0"/>
      <w:suppressAutoHyphens/>
      <w:ind w:left="3360"/>
      <w:jc w:val="both"/>
    </w:pPr>
    <w:rPr>
      <w:rFonts w:ascii="Calibri" w:hAnsi="Calibri" w:eastAsia="宋体" w:cs="Calibri"/>
      <w:kern w:val="2"/>
      <w:sz w:val="21"/>
      <w:szCs w:val="24"/>
      <w:lang w:val="en-US" w:eastAsia="zh-CN" w:bidi="ar-SA"/>
    </w:rPr>
  </w:style>
  <w:style w:type="paragraph" w:styleId="13">
    <w:name w:val="toc 2"/>
    <w:basedOn w:val="1"/>
    <w:next w:val="1"/>
    <w:qFormat/>
    <w:uiPriority w:val="0"/>
    <w:pPr>
      <w:ind w:left="420" w:leftChars="200"/>
    </w:p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uiPriority w:val="10"/>
    <w:pPr>
      <w:spacing w:before="240" w:after="60"/>
      <w:jc w:val="center"/>
      <w:outlineLvl w:val="0"/>
    </w:pPr>
    <w:rPr>
      <w:rFonts w:ascii="Cambria" w:hAnsi="Cambria"/>
      <w:b/>
      <w:bCs/>
      <w:sz w:val="32"/>
      <w:szCs w:val="3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customStyle="1" w:styleId="21">
    <w:name w:val="font21"/>
    <w:qFormat/>
    <w:uiPriority w:val="0"/>
    <w:rPr>
      <w:rFonts w:hint="default" w:ascii="仿宋" w:hAnsi="仿宋" w:eastAsia="仿宋" w:cs="仿宋"/>
      <w:color w:val="000000"/>
      <w:sz w:val="28"/>
      <w:szCs w:val="28"/>
      <w:u w:val="none"/>
    </w:rPr>
  </w:style>
  <w:style w:type="paragraph" w:customStyle="1" w:styleId="22">
    <w:name w:val="默认"/>
    <w:qFormat/>
    <w:uiPriority w:val="0"/>
    <w:rPr>
      <w:rFonts w:ascii="Helvetica" w:hAnsi="Helvetica" w:eastAsia="Arial Unicode MS" w:cs="Arial Unicode MS"/>
      <w:color w:val="000000"/>
      <w:sz w:val="22"/>
      <w:szCs w:val="22"/>
      <w:lang w:val="zh-CN" w:eastAsia="zh-CN" w:bidi="ar-SA"/>
    </w:rPr>
  </w:style>
  <w:style w:type="paragraph" w:customStyle="1" w:styleId="23">
    <w:name w:val="p0"/>
    <w:basedOn w:val="1"/>
    <w:qFormat/>
    <w:uiPriority w:val="99"/>
    <w:pPr>
      <w:widowControl/>
    </w:pPr>
    <w:rPr>
      <w:rFonts w:cs="Times New Roman"/>
      <w:kern w:val="0"/>
      <w:szCs w:val="21"/>
    </w:rPr>
  </w:style>
  <w:style w:type="paragraph" w:customStyle="1" w:styleId="24">
    <w:name w:val="样式一"/>
    <w:basedOn w:val="1"/>
    <w:qFormat/>
    <w:uiPriority w:val="0"/>
    <w:pPr>
      <w:spacing w:before="435" w:after="217" w:line="600" w:lineRule="exact"/>
      <w:jc w:val="center"/>
    </w:pPr>
    <w:rPr>
      <w:rFonts w:ascii="黑体" w:hAnsi="黑体" w:eastAsia="黑体" w:cs="宋体"/>
      <w:szCs w:val="20"/>
    </w:rPr>
  </w:style>
  <w:style w:type="character" w:customStyle="1" w:styleId="25">
    <w:name w:val="样式三 字符"/>
    <w:link w:val="26"/>
    <w:qFormat/>
    <w:uiPriority w:val="0"/>
    <w:rPr>
      <w:rFonts w:ascii="楷体_GB2312" w:hAnsi="仿宋_GB2312" w:eastAsia="楷体_GB2312" w:cs="Times New Roman"/>
      <w:bCs/>
    </w:rPr>
  </w:style>
  <w:style w:type="paragraph" w:customStyle="1" w:styleId="26">
    <w:name w:val="样式三"/>
    <w:basedOn w:val="1"/>
    <w:next w:val="1"/>
    <w:link w:val="25"/>
    <w:qFormat/>
    <w:uiPriority w:val="0"/>
    <w:pPr>
      <w:overflowPunct w:val="0"/>
      <w:adjustRightInd w:val="0"/>
      <w:snapToGrid w:val="0"/>
      <w:spacing w:line="600" w:lineRule="exact"/>
      <w:ind w:firstLine="640" w:firstLineChars="200"/>
    </w:pPr>
    <w:rPr>
      <w:rFonts w:ascii="楷体_GB2312" w:hAnsi="仿宋_GB2312" w:eastAsia="楷体_GB2312" w:cs="Times New Roman"/>
      <w:bCs/>
    </w:rPr>
  </w:style>
  <w:style w:type="paragraph" w:customStyle="1" w:styleId="27">
    <w:name w:val="A-正文"/>
    <w:basedOn w:val="1"/>
    <w:qFormat/>
    <w:uiPriority w:val="0"/>
    <w:pPr>
      <w:spacing w:line="580" w:lineRule="exact"/>
      <w:ind w:firstLine="600" w:firstLineChars="200"/>
    </w:pPr>
    <w:rPr>
      <w:rFonts w:ascii="仿宋_GB2312" w:eastAsia="仿宋_GB2312"/>
      <w:sz w:val="30"/>
      <w:szCs w:val="30"/>
    </w:rPr>
  </w:style>
  <w:style w:type="paragraph" w:customStyle="1" w:styleId="28">
    <w:name w:val="样式二 大"/>
    <w:basedOn w:val="1"/>
    <w:qFormat/>
    <w:uiPriority w:val="0"/>
    <w:pPr>
      <w:spacing w:line="600" w:lineRule="exact"/>
      <w:ind w:firstLine="640" w:firstLineChars="200"/>
    </w:pPr>
    <w:rPr>
      <w:rFonts w:ascii="黑体" w:hAnsi="黑体" w:eastAsia="黑体" w:cs="宋体"/>
      <w:sz w:val="32"/>
      <w:szCs w:val="20"/>
    </w:rPr>
  </w:style>
  <w:style w:type="paragraph" w:customStyle="1" w:styleId="2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customStyle="1" w:styleId="30">
    <w:name w:val="_Style 13"/>
    <w:qFormat/>
    <w:uiPriority w:val="0"/>
    <w:pPr>
      <w:spacing w:before="120" w:after="120" w:line="288" w:lineRule="auto"/>
    </w:pPr>
    <w:rPr>
      <w:rFonts w:ascii="Arial" w:hAnsi="Arial" w:eastAsia="等线" w:cs="Arial"/>
      <w:sz w:val="22"/>
      <w:szCs w:val="22"/>
      <w:lang w:val="en-US" w:eastAsia="zh-CN" w:bidi="ar-SA"/>
    </w:rPr>
  </w:style>
  <w:style w:type="character" w:customStyle="1" w:styleId="31">
    <w:name w:val="标题 3 字符"/>
    <w:basedOn w:val="19"/>
    <w:link w:val="4"/>
    <w:semiHidden/>
    <w:qFormat/>
    <w:uiPriority w:val="9"/>
    <w:rPr>
      <w:b/>
    </w:rPr>
  </w:style>
  <w:style w:type="paragraph" w:customStyle="1" w:styleId="32">
    <w:name w:val="PlainText"/>
    <w:basedOn w:val="1"/>
    <w:next w:val="1"/>
    <w:qFormat/>
    <w:uiPriority w:val="0"/>
    <w:rPr>
      <w:rFonts w:ascii="宋体" w:hAnsi="Courier New"/>
      <w:szCs w:val="21"/>
    </w:rPr>
  </w:style>
  <w:style w:type="character" w:customStyle="1" w:styleId="33">
    <w:name w:val="标题 1 字符"/>
    <w:basedOn w:val="19"/>
    <w:link w:val="2"/>
    <w:qFormat/>
    <w:uiPriority w:val="9"/>
    <w:rPr>
      <w:rFonts w:hint="eastAsia" w:ascii="宋体" w:hAnsi="宋体" w:eastAsia="宋体" w:cs="Times New Roman"/>
      <w:b/>
      <w:bCs/>
      <w:kern w:val="44"/>
      <w:sz w:val="48"/>
      <w:szCs w:val="4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D12A08-7A0D-4CC3-BEDB-3DD2581E143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55</Pages>
  <Words>14514</Words>
  <Characters>14800</Characters>
  <Lines>203</Lines>
  <Paragraphs>57</Paragraphs>
  <TotalTime>11</TotalTime>
  <ScaleCrop>false</ScaleCrop>
  <LinksUpToDate>false</LinksUpToDate>
  <CharactersWithSpaces>14879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2023-02-01T01:32:00Z</dcterms:created>
  <dc:creator>Microsoft Office User</dc:creator>
  <cp:lastModifiedBy>S</cp:lastModifiedBy>
  <cp:lastPrinted>2026-05-14T01:14:00Z</cp:lastPrinted>
  <dcterms:modified xsi:type="dcterms:W3CDTF">2026-05-14T02:38:50Z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F2463DC193414243A4623729FE3FF0BC_13</vt:lpwstr>
  </property>
  <property fmtid="{D5CDD505-2E9C-101B-9397-08002B2CF9AE}" pid="4" name="KSOTemplateDocerSaveRecord">
    <vt:lpwstr>eyJoZGlkIjoiZTJhNmExMDZhNWZkNTYxNjMzOGVkMDg4MWM2MWEyNDYiLCJ1c2VySWQiOiI2MzY2NDQwNjgifQ==</vt:lpwstr>
  </property>
</Properties>
</file>