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853E47">
      <w:pPr>
        <w:pStyle w:val="4"/>
        <w:shd w:val="clear" w:color="auto" w:fill="FFFFFF"/>
        <w:spacing w:before="0" w:beforeAutospacing="0" w:after="0" w:afterAutospacing="0"/>
        <w:jc w:val="center"/>
        <w:rPr>
          <w:color w:val="333333"/>
        </w:rPr>
      </w:pPr>
      <w:r>
        <w:rPr>
          <w:rFonts w:hint="eastAsia"/>
          <w:b/>
          <w:bCs/>
          <w:color w:val="333333"/>
          <w:sz w:val="36"/>
          <w:szCs w:val="36"/>
        </w:rPr>
        <w:t>中华人民共和国国务院令</w:t>
      </w:r>
    </w:p>
    <w:p w14:paraId="05FB4CB3">
      <w:pPr>
        <w:pStyle w:val="4"/>
        <w:shd w:val="clear" w:color="auto" w:fill="FFFFFF"/>
        <w:spacing w:before="0" w:beforeAutospacing="0" w:after="0" w:afterAutospacing="0"/>
        <w:jc w:val="center"/>
        <w:rPr>
          <w:rFonts w:hint="eastAsia"/>
          <w:color w:val="333333"/>
        </w:rPr>
      </w:pPr>
      <w:r>
        <w:rPr>
          <w:rFonts w:hint="eastAsia" w:ascii="楷体" w:hAnsi="楷体" w:eastAsia="楷体"/>
          <w:color w:val="333333"/>
        </w:rPr>
        <w:t>第673号</w:t>
      </w:r>
    </w:p>
    <w:p w14:paraId="0C634D01">
      <w:pPr>
        <w:pStyle w:val="4"/>
        <w:shd w:val="clear" w:color="auto" w:fill="FFFFFF"/>
        <w:spacing w:before="0" w:beforeAutospacing="0" w:after="0" w:afterAutospacing="0"/>
        <w:ind w:firstLine="480"/>
        <w:jc w:val="both"/>
        <w:rPr>
          <w:rFonts w:hint="eastAsia"/>
          <w:color w:val="333333"/>
        </w:rPr>
      </w:pPr>
    </w:p>
    <w:p w14:paraId="4ED882A1">
      <w:pPr>
        <w:pStyle w:val="4"/>
        <w:shd w:val="clear" w:color="auto" w:fill="FFFFFF"/>
        <w:spacing w:before="0" w:beforeAutospacing="0" w:after="0" w:afterAutospacing="0"/>
        <w:ind w:firstLine="480"/>
        <w:jc w:val="both"/>
        <w:rPr>
          <w:rFonts w:hint="eastAsia"/>
          <w:color w:val="333333"/>
        </w:rPr>
      </w:pPr>
      <w:r>
        <w:rPr>
          <w:rFonts w:hint="eastAsia"/>
          <w:color w:val="333333"/>
        </w:rPr>
        <w:t>《企业投资项目核准和备案管理条例》已经2016年10月8日国务院第149次常务会议通过，现予公布，自2017年2月1日起施行。</w:t>
      </w:r>
    </w:p>
    <w:p w14:paraId="6999CCB0">
      <w:pPr>
        <w:pStyle w:val="4"/>
        <w:shd w:val="clear" w:color="auto" w:fill="FFFFFF"/>
        <w:spacing w:before="0" w:beforeAutospacing="0" w:after="0" w:afterAutospacing="0"/>
        <w:ind w:firstLine="480"/>
        <w:jc w:val="both"/>
        <w:rPr>
          <w:rFonts w:hint="eastAsia"/>
          <w:color w:val="333333"/>
        </w:rPr>
      </w:pPr>
      <w:r>
        <w:rPr>
          <w:rFonts w:hint="eastAsia"/>
          <w:color w:val="333333"/>
        </w:rPr>
        <w:t>　　　　　　　　　　　　　　　　　　　　　　　　总理　 李克强</w:t>
      </w:r>
    </w:p>
    <w:p w14:paraId="46B64FF2">
      <w:pPr>
        <w:pStyle w:val="4"/>
        <w:shd w:val="clear" w:color="auto" w:fill="FFFFFF"/>
        <w:spacing w:before="0" w:beforeAutospacing="0" w:after="0" w:afterAutospacing="0"/>
        <w:ind w:firstLine="480"/>
        <w:jc w:val="both"/>
        <w:rPr>
          <w:rFonts w:hint="eastAsia"/>
          <w:color w:val="333333"/>
        </w:rPr>
      </w:pPr>
      <w:r>
        <w:rPr>
          <w:rFonts w:hint="eastAsia"/>
          <w:color w:val="333333"/>
        </w:rPr>
        <w:t>　　　　　　　　　　　　　　　　　　　　　　　　　　2016年11月30日</w:t>
      </w:r>
    </w:p>
    <w:p w14:paraId="16E0A1E0">
      <w:pPr>
        <w:pStyle w:val="4"/>
        <w:shd w:val="clear" w:color="auto" w:fill="FFFFFF"/>
        <w:spacing w:before="0" w:beforeAutospacing="0" w:after="0" w:afterAutospacing="0"/>
        <w:ind w:firstLine="480"/>
        <w:jc w:val="both"/>
        <w:rPr>
          <w:rFonts w:hint="eastAsia"/>
          <w:color w:val="333333"/>
        </w:rPr>
      </w:pPr>
    </w:p>
    <w:p w14:paraId="38D54401">
      <w:pPr>
        <w:pStyle w:val="4"/>
        <w:shd w:val="clear" w:color="auto" w:fill="FFFFFF"/>
        <w:spacing w:before="0" w:beforeAutospacing="0" w:after="0" w:afterAutospacing="0"/>
        <w:jc w:val="center"/>
        <w:rPr>
          <w:rFonts w:hint="eastAsia"/>
          <w:color w:val="333333"/>
        </w:rPr>
      </w:pPr>
      <w:bookmarkStart w:id="0" w:name="_GoBack"/>
      <w:r>
        <w:rPr>
          <w:rFonts w:hint="eastAsia"/>
          <w:b/>
          <w:bCs/>
          <w:color w:val="333333"/>
          <w:sz w:val="36"/>
          <w:szCs w:val="36"/>
        </w:rPr>
        <w:t>企业投资项目核准和备案管理条例</w:t>
      </w:r>
      <w:bookmarkEnd w:id="0"/>
    </w:p>
    <w:p w14:paraId="5C11F061">
      <w:pPr>
        <w:pStyle w:val="4"/>
        <w:shd w:val="clear" w:color="auto" w:fill="FFFFFF"/>
        <w:spacing w:before="0" w:beforeAutospacing="0" w:after="0" w:afterAutospacing="0"/>
        <w:ind w:firstLine="480"/>
        <w:jc w:val="both"/>
        <w:rPr>
          <w:rFonts w:hint="eastAsia"/>
          <w:color w:val="333333"/>
        </w:rPr>
      </w:pPr>
    </w:p>
    <w:p w14:paraId="50876419">
      <w:pPr>
        <w:pStyle w:val="4"/>
        <w:shd w:val="clear" w:color="auto" w:fill="FFFFFF"/>
        <w:spacing w:before="0" w:beforeAutospacing="0" w:after="0" w:afterAutospacing="0"/>
        <w:ind w:firstLine="480"/>
        <w:jc w:val="both"/>
        <w:rPr>
          <w:rFonts w:hint="eastAsia"/>
          <w:color w:val="333333"/>
        </w:rPr>
      </w:pPr>
      <w:r>
        <w:rPr>
          <w:rFonts w:hint="eastAsia"/>
          <w:b/>
          <w:bCs/>
          <w:color w:val="333333"/>
        </w:rPr>
        <w:t>第一条</w:t>
      </w:r>
      <w:r>
        <w:rPr>
          <w:rFonts w:hint="eastAsia"/>
          <w:color w:val="333333"/>
        </w:rPr>
        <w:t>　为了规范政府对企业投资项目的核准和备案行为，加快转变政府的投资管理职能，落实企业投资自主权，制定本条例。</w:t>
      </w:r>
    </w:p>
    <w:p w14:paraId="5E146D65">
      <w:pPr>
        <w:pStyle w:val="4"/>
        <w:shd w:val="clear" w:color="auto" w:fill="FFFFFF"/>
        <w:spacing w:before="0" w:beforeAutospacing="0" w:after="0" w:afterAutospacing="0"/>
        <w:ind w:firstLine="480"/>
        <w:jc w:val="both"/>
        <w:rPr>
          <w:rFonts w:hint="eastAsia"/>
          <w:color w:val="333333"/>
        </w:rPr>
      </w:pPr>
      <w:r>
        <w:rPr>
          <w:rFonts w:hint="eastAsia"/>
          <w:b/>
          <w:bCs/>
          <w:color w:val="333333"/>
        </w:rPr>
        <w:t>第二条</w:t>
      </w:r>
      <w:r>
        <w:rPr>
          <w:rFonts w:hint="eastAsia"/>
          <w:color w:val="333333"/>
        </w:rPr>
        <w:t>　本条例所称企业投资项目（以下简称项目），是指企业在中国境内投资建设的固定资产投资项目。</w:t>
      </w:r>
    </w:p>
    <w:p w14:paraId="4EC187A4">
      <w:pPr>
        <w:pStyle w:val="4"/>
        <w:shd w:val="clear" w:color="auto" w:fill="FFFFFF"/>
        <w:spacing w:before="0" w:beforeAutospacing="0" w:after="0" w:afterAutospacing="0"/>
        <w:ind w:firstLine="480"/>
        <w:jc w:val="both"/>
        <w:rPr>
          <w:rFonts w:hint="eastAsia"/>
          <w:color w:val="333333"/>
        </w:rPr>
      </w:pPr>
      <w:r>
        <w:rPr>
          <w:rFonts w:hint="eastAsia"/>
          <w:b/>
          <w:bCs/>
          <w:color w:val="333333"/>
        </w:rPr>
        <w:t>第三条</w:t>
      </w:r>
      <w:r>
        <w:rPr>
          <w:rFonts w:hint="eastAsia"/>
          <w:color w:val="333333"/>
        </w:rPr>
        <w:t>　对关系国家安全、涉及全国重大生产力布局、战略性资源开发和重大公共利益等项目，实行核准管理。具体项目范围以及核准机关、核准权限依照政府核准的投资项目目录执行。政府核准的投资项目目录由国务院投资主管部门会同国务院有关部门提出，报国务院批准后实施，并适时调整。国务院另有规定的，依照其规定。</w:t>
      </w:r>
    </w:p>
    <w:p w14:paraId="5CC374BD">
      <w:pPr>
        <w:pStyle w:val="4"/>
        <w:shd w:val="clear" w:color="auto" w:fill="FFFFFF"/>
        <w:spacing w:before="0" w:beforeAutospacing="0" w:after="0" w:afterAutospacing="0"/>
        <w:ind w:firstLine="480"/>
        <w:jc w:val="both"/>
        <w:rPr>
          <w:rFonts w:hint="eastAsia"/>
          <w:color w:val="333333"/>
        </w:rPr>
      </w:pPr>
      <w:r>
        <w:rPr>
          <w:rFonts w:hint="eastAsia"/>
          <w:color w:val="333333"/>
        </w:rPr>
        <w:t>对前款规定以外的项目，实行备案管理。除国务院另有规定的，实行备案管理的项目按照属地原则备案，备案机关及其权限由省、自治区、直辖市和计划单列市人民政府规定。</w:t>
      </w:r>
    </w:p>
    <w:p w14:paraId="21CB19DA">
      <w:pPr>
        <w:pStyle w:val="4"/>
        <w:shd w:val="clear" w:color="auto" w:fill="FFFFFF"/>
        <w:spacing w:before="0" w:beforeAutospacing="0" w:after="0" w:afterAutospacing="0"/>
        <w:ind w:firstLine="480"/>
        <w:jc w:val="both"/>
        <w:rPr>
          <w:rFonts w:hint="eastAsia"/>
          <w:color w:val="333333"/>
        </w:rPr>
      </w:pPr>
      <w:r>
        <w:rPr>
          <w:rFonts w:hint="eastAsia"/>
          <w:b/>
          <w:bCs/>
          <w:color w:val="333333"/>
        </w:rPr>
        <w:t>第四条</w:t>
      </w:r>
      <w:r>
        <w:rPr>
          <w:rFonts w:hint="eastAsia"/>
          <w:color w:val="333333"/>
        </w:rPr>
        <w:t>　除涉及国家秘密的项目外，项目核准、备案通过国家建立的项目在线监管平台（以下简称在线平台）办理。</w:t>
      </w:r>
    </w:p>
    <w:p w14:paraId="54106F36">
      <w:pPr>
        <w:pStyle w:val="4"/>
        <w:shd w:val="clear" w:color="auto" w:fill="FFFFFF"/>
        <w:spacing w:before="0" w:beforeAutospacing="0" w:after="0" w:afterAutospacing="0"/>
        <w:ind w:firstLine="480"/>
        <w:jc w:val="both"/>
        <w:rPr>
          <w:rFonts w:hint="eastAsia"/>
          <w:color w:val="333333"/>
        </w:rPr>
      </w:pPr>
      <w:r>
        <w:rPr>
          <w:rFonts w:hint="eastAsia"/>
          <w:color w:val="333333"/>
        </w:rPr>
        <w:t>核准机关、备案机关以及其他有关部门统一使用在线平台生成的项目代码办理相关手续。</w:t>
      </w:r>
    </w:p>
    <w:p w14:paraId="2A051E0C">
      <w:pPr>
        <w:pStyle w:val="4"/>
        <w:shd w:val="clear" w:color="auto" w:fill="FFFFFF"/>
        <w:spacing w:before="0" w:beforeAutospacing="0" w:after="0" w:afterAutospacing="0"/>
        <w:ind w:firstLine="480"/>
        <w:jc w:val="both"/>
        <w:rPr>
          <w:rFonts w:hint="eastAsia"/>
          <w:color w:val="333333"/>
        </w:rPr>
      </w:pPr>
      <w:r>
        <w:rPr>
          <w:rFonts w:hint="eastAsia"/>
          <w:color w:val="333333"/>
        </w:rPr>
        <w:t>国务院投资主管部门会同有关部门制定在线平台管理办法。</w:t>
      </w:r>
    </w:p>
    <w:p w14:paraId="77118270">
      <w:pPr>
        <w:pStyle w:val="4"/>
        <w:shd w:val="clear" w:color="auto" w:fill="FFFFFF"/>
        <w:spacing w:before="0" w:beforeAutospacing="0" w:after="0" w:afterAutospacing="0"/>
        <w:ind w:firstLine="480"/>
        <w:jc w:val="both"/>
        <w:rPr>
          <w:rFonts w:hint="eastAsia"/>
          <w:color w:val="333333"/>
        </w:rPr>
      </w:pPr>
      <w:r>
        <w:rPr>
          <w:rFonts w:hint="eastAsia"/>
          <w:b/>
          <w:bCs/>
          <w:color w:val="333333"/>
        </w:rPr>
        <w:t>第五条</w:t>
      </w:r>
      <w:r>
        <w:rPr>
          <w:rFonts w:hint="eastAsia"/>
          <w:color w:val="333333"/>
        </w:rPr>
        <w:t>　核准机关、备案机关应当通过在线平台列明与项目有关的产业政策，公开项目核准的办理流程、办理时限等，并为企业提供相关咨询服务。</w:t>
      </w:r>
    </w:p>
    <w:p w14:paraId="45701644">
      <w:pPr>
        <w:pStyle w:val="4"/>
        <w:shd w:val="clear" w:color="auto" w:fill="FFFFFF"/>
        <w:spacing w:before="0" w:beforeAutospacing="0" w:after="0" w:afterAutospacing="0"/>
        <w:ind w:firstLine="480"/>
        <w:jc w:val="both"/>
        <w:rPr>
          <w:rFonts w:hint="eastAsia"/>
          <w:color w:val="333333"/>
        </w:rPr>
      </w:pPr>
      <w:r>
        <w:rPr>
          <w:rFonts w:hint="eastAsia"/>
          <w:b/>
          <w:bCs/>
          <w:color w:val="333333"/>
        </w:rPr>
        <w:t>第六条</w:t>
      </w:r>
      <w:r>
        <w:rPr>
          <w:rFonts w:hint="eastAsia"/>
          <w:color w:val="333333"/>
        </w:rPr>
        <w:t>　企业办理项目核准手续，应当向核准机关提交项目申请书；由国务院核准的项目，向国务院投资主管部门提交项目申请书。项目申请书应当包括下列内容：</w:t>
      </w:r>
    </w:p>
    <w:p w14:paraId="47AE9D54">
      <w:pPr>
        <w:pStyle w:val="4"/>
        <w:shd w:val="clear" w:color="auto" w:fill="FFFFFF"/>
        <w:spacing w:before="0" w:beforeAutospacing="0" w:after="0" w:afterAutospacing="0"/>
        <w:ind w:firstLine="480"/>
        <w:jc w:val="both"/>
        <w:rPr>
          <w:rFonts w:hint="eastAsia"/>
          <w:color w:val="333333"/>
        </w:rPr>
      </w:pPr>
      <w:r>
        <w:rPr>
          <w:rFonts w:hint="eastAsia"/>
          <w:color w:val="333333"/>
        </w:rPr>
        <w:t>（一）企业基本情况；</w:t>
      </w:r>
    </w:p>
    <w:p w14:paraId="435F1499">
      <w:pPr>
        <w:pStyle w:val="4"/>
        <w:shd w:val="clear" w:color="auto" w:fill="FFFFFF"/>
        <w:spacing w:before="0" w:beforeAutospacing="0" w:after="0" w:afterAutospacing="0"/>
        <w:ind w:firstLine="480"/>
        <w:jc w:val="both"/>
        <w:rPr>
          <w:rFonts w:hint="eastAsia"/>
          <w:color w:val="333333"/>
        </w:rPr>
      </w:pPr>
      <w:r>
        <w:rPr>
          <w:rFonts w:hint="eastAsia"/>
          <w:color w:val="333333"/>
        </w:rPr>
        <w:t>（二）项目情况，包括项目名称、建设地点、建设规模、建设内容等；</w:t>
      </w:r>
    </w:p>
    <w:p w14:paraId="16BE1C97">
      <w:pPr>
        <w:pStyle w:val="4"/>
        <w:shd w:val="clear" w:color="auto" w:fill="FFFFFF"/>
        <w:spacing w:before="0" w:beforeAutospacing="0" w:after="0" w:afterAutospacing="0"/>
        <w:ind w:firstLine="480"/>
        <w:jc w:val="both"/>
        <w:rPr>
          <w:rFonts w:hint="eastAsia"/>
          <w:color w:val="333333"/>
        </w:rPr>
      </w:pPr>
      <w:r>
        <w:rPr>
          <w:rFonts w:hint="eastAsia"/>
          <w:color w:val="333333"/>
        </w:rPr>
        <w:t>（三）项目利用资源情况分析以及对生态环境的影响分析；</w:t>
      </w:r>
    </w:p>
    <w:p w14:paraId="01F66189">
      <w:pPr>
        <w:pStyle w:val="4"/>
        <w:shd w:val="clear" w:color="auto" w:fill="FFFFFF"/>
        <w:spacing w:before="0" w:beforeAutospacing="0" w:after="0" w:afterAutospacing="0"/>
        <w:ind w:firstLine="480"/>
        <w:jc w:val="both"/>
        <w:rPr>
          <w:rFonts w:hint="eastAsia"/>
          <w:color w:val="333333"/>
        </w:rPr>
      </w:pPr>
      <w:r>
        <w:rPr>
          <w:rFonts w:hint="eastAsia"/>
          <w:color w:val="333333"/>
        </w:rPr>
        <w:t>（四）项目对经济和社会的影响分析。</w:t>
      </w:r>
    </w:p>
    <w:p w14:paraId="530F1D26">
      <w:pPr>
        <w:pStyle w:val="4"/>
        <w:shd w:val="clear" w:color="auto" w:fill="FFFFFF"/>
        <w:spacing w:before="0" w:beforeAutospacing="0" w:after="0" w:afterAutospacing="0"/>
        <w:ind w:firstLine="480"/>
        <w:jc w:val="both"/>
        <w:rPr>
          <w:rFonts w:hint="eastAsia"/>
          <w:color w:val="333333"/>
        </w:rPr>
      </w:pPr>
      <w:r>
        <w:rPr>
          <w:rFonts w:hint="eastAsia"/>
          <w:color w:val="333333"/>
        </w:rPr>
        <w:t>企业应当对项目申请书内容的真实性负责。</w:t>
      </w:r>
    </w:p>
    <w:p w14:paraId="3858876D">
      <w:pPr>
        <w:pStyle w:val="4"/>
        <w:shd w:val="clear" w:color="auto" w:fill="FFFFFF"/>
        <w:spacing w:before="0" w:beforeAutospacing="0" w:after="0" w:afterAutospacing="0"/>
        <w:ind w:firstLine="480"/>
        <w:jc w:val="both"/>
        <w:rPr>
          <w:rFonts w:hint="eastAsia"/>
          <w:color w:val="333333"/>
        </w:rPr>
      </w:pPr>
      <w:r>
        <w:rPr>
          <w:rFonts w:hint="eastAsia"/>
          <w:color w:val="333333"/>
        </w:rPr>
        <w:t>法律、行政法规规定办理相关手续作为项目核准前置条件的，企业应当提交已经办理相关手续的证明文件。</w:t>
      </w:r>
    </w:p>
    <w:p w14:paraId="7A0E541F">
      <w:pPr>
        <w:pStyle w:val="4"/>
        <w:shd w:val="clear" w:color="auto" w:fill="FFFFFF"/>
        <w:spacing w:before="0" w:beforeAutospacing="0" w:after="0" w:afterAutospacing="0"/>
        <w:ind w:firstLine="480"/>
        <w:jc w:val="both"/>
        <w:rPr>
          <w:rFonts w:hint="eastAsia"/>
          <w:color w:val="333333"/>
        </w:rPr>
      </w:pPr>
      <w:r>
        <w:rPr>
          <w:rFonts w:hint="eastAsia"/>
          <w:b/>
          <w:bCs/>
          <w:color w:val="333333"/>
        </w:rPr>
        <w:t>第七条</w:t>
      </w:r>
      <w:r>
        <w:rPr>
          <w:rFonts w:hint="eastAsia"/>
          <w:color w:val="333333"/>
        </w:rPr>
        <w:t>　项目申请书由企业自主组织编制，任何单位和个人不得强制企业委托中介服务机构编制项目申请书。</w:t>
      </w:r>
    </w:p>
    <w:p w14:paraId="4DDFB6B3">
      <w:pPr>
        <w:pStyle w:val="4"/>
        <w:shd w:val="clear" w:color="auto" w:fill="FFFFFF"/>
        <w:spacing w:before="0" w:beforeAutospacing="0" w:after="0" w:afterAutospacing="0"/>
        <w:ind w:firstLine="480"/>
        <w:jc w:val="both"/>
        <w:rPr>
          <w:rFonts w:hint="eastAsia"/>
          <w:color w:val="333333"/>
        </w:rPr>
      </w:pPr>
      <w:r>
        <w:rPr>
          <w:rFonts w:hint="eastAsia"/>
          <w:color w:val="333333"/>
        </w:rPr>
        <w:t>核准机关应当制定并公布项目申请书示范文本，明确项目申请书编制要求。</w:t>
      </w:r>
    </w:p>
    <w:p w14:paraId="0499A6C1">
      <w:pPr>
        <w:pStyle w:val="4"/>
        <w:shd w:val="clear" w:color="auto" w:fill="FFFFFF"/>
        <w:spacing w:before="0" w:beforeAutospacing="0" w:after="0" w:afterAutospacing="0"/>
        <w:ind w:firstLine="480"/>
        <w:jc w:val="both"/>
        <w:rPr>
          <w:rFonts w:hint="eastAsia"/>
          <w:color w:val="333333"/>
        </w:rPr>
      </w:pPr>
      <w:r>
        <w:rPr>
          <w:rFonts w:hint="eastAsia"/>
          <w:b/>
          <w:bCs/>
          <w:color w:val="333333"/>
        </w:rPr>
        <w:t>第八条</w:t>
      </w:r>
      <w:r>
        <w:rPr>
          <w:rFonts w:hint="eastAsia"/>
          <w:color w:val="333333"/>
        </w:rPr>
        <w:t>　由国务院有关部门核准的项目，企业可以通过项目所在地省、自治区、直辖市和计划单列市人民政府有关部门（以下称地方人民政府有关部门）转送项目申请书，地方人民政府有关部门应当自收到项目申请书之日起5个工作日内转送核准机关。</w:t>
      </w:r>
    </w:p>
    <w:p w14:paraId="078E7356">
      <w:pPr>
        <w:pStyle w:val="4"/>
        <w:shd w:val="clear" w:color="auto" w:fill="FFFFFF"/>
        <w:spacing w:before="0" w:beforeAutospacing="0" w:after="0" w:afterAutospacing="0"/>
        <w:ind w:firstLine="480"/>
        <w:jc w:val="both"/>
        <w:rPr>
          <w:rFonts w:hint="eastAsia"/>
          <w:color w:val="333333"/>
        </w:rPr>
      </w:pPr>
      <w:r>
        <w:rPr>
          <w:rFonts w:hint="eastAsia"/>
          <w:color w:val="333333"/>
        </w:rPr>
        <w:t>由国务院核准的项目，企业通过地方人民政府有关部门转送项目申请书的，地方人民政府有关部门应当在前款规定的期限内将项目申请书转送国务院投资主管部门，由国务院投资主管部门审核后报国务院核准。</w:t>
      </w:r>
    </w:p>
    <w:p w14:paraId="2A5F2C33">
      <w:pPr>
        <w:pStyle w:val="4"/>
        <w:shd w:val="clear" w:color="auto" w:fill="FFFFFF"/>
        <w:spacing w:before="0" w:beforeAutospacing="0" w:after="0" w:afterAutospacing="0"/>
        <w:ind w:firstLine="480"/>
        <w:jc w:val="both"/>
        <w:rPr>
          <w:rFonts w:hint="eastAsia"/>
          <w:color w:val="333333"/>
        </w:rPr>
      </w:pPr>
      <w:r>
        <w:rPr>
          <w:rFonts w:hint="eastAsia"/>
          <w:b/>
          <w:bCs/>
          <w:color w:val="333333"/>
        </w:rPr>
        <w:t>第九条</w:t>
      </w:r>
      <w:r>
        <w:rPr>
          <w:rFonts w:hint="eastAsia"/>
          <w:color w:val="333333"/>
        </w:rPr>
        <w:t>　核准机关应当从下列方面对项目进行审查：</w:t>
      </w:r>
    </w:p>
    <w:p w14:paraId="7D7BDC8C">
      <w:pPr>
        <w:pStyle w:val="4"/>
        <w:shd w:val="clear" w:color="auto" w:fill="FFFFFF"/>
        <w:spacing w:before="0" w:beforeAutospacing="0" w:after="0" w:afterAutospacing="0"/>
        <w:ind w:firstLine="480"/>
        <w:jc w:val="both"/>
        <w:rPr>
          <w:rFonts w:hint="eastAsia"/>
          <w:color w:val="333333"/>
        </w:rPr>
      </w:pPr>
      <w:r>
        <w:rPr>
          <w:rFonts w:hint="eastAsia"/>
          <w:color w:val="333333"/>
        </w:rPr>
        <w:t>（一）是否危害经济安全、社会安全、生态安全等国家安全；</w:t>
      </w:r>
    </w:p>
    <w:p w14:paraId="076AA2D5">
      <w:pPr>
        <w:pStyle w:val="4"/>
        <w:shd w:val="clear" w:color="auto" w:fill="FFFFFF"/>
        <w:spacing w:before="0" w:beforeAutospacing="0" w:after="0" w:afterAutospacing="0"/>
        <w:ind w:firstLine="480"/>
        <w:jc w:val="both"/>
        <w:rPr>
          <w:rFonts w:hint="eastAsia"/>
          <w:color w:val="333333"/>
        </w:rPr>
      </w:pPr>
      <w:r>
        <w:rPr>
          <w:rFonts w:hint="eastAsia"/>
          <w:color w:val="333333"/>
        </w:rPr>
        <w:t>（二）是否符合相关发展建设规划、技术标准和产业政策；</w:t>
      </w:r>
    </w:p>
    <w:p w14:paraId="7F9DA283">
      <w:pPr>
        <w:pStyle w:val="4"/>
        <w:shd w:val="clear" w:color="auto" w:fill="FFFFFF"/>
        <w:spacing w:before="0" w:beforeAutospacing="0" w:after="0" w:afterAutospacing="0"/>
        <w:ind w:firstLine="480"/>
        <w:jc w:val="both"/>
        <w:rPr>
          <w:rFonts w:hint="eastAsia"/>
          <w:color w:val="333333"/>
        </w:rPr>
      </w:pPr>
      <w:r>
        <w:rPr>
          <w:rFonts w:hint="eastAsia"/>
          <w:color w:val="333333"/>
        </w:rPr>
        <w:t>（三）是否合理开发并有效利用资源；</w:t>
      </w:r>
    </w:p>
    <w:p w14:paraId="52CD2147">
      <w:pPr>
        <w:pStyle w:val="4"/>
        <w:shd w:val="clear" w:color="auto" w:fill="FFFFFF"/>
        <w:spacing w:before="0" w:beforeAutospacing="0" w:after="0" w:afterAutospacing="0"/>
        <w:ind w:firstLine="480"/>
        <w:jc w:val="both"/>
        <w:rPr>
          <w:rFonts w:hint="eastAsia"/>
          <w:color w:val="333333"/>
        </w:rPr>
      </w:pPr>
      <w:r>
        <w:rPr>
          <w:rFonts w:hint="eastAsia"/>
          <w:color w:val="333333"/>
        </w:rPr>
        <w:t>（四）是否对重大公共利益产生不利影响。</w:t>
      </w:r>
    </w:p>
    <w:p w14:paraId="76BF086A">
      <w:pPr>
        <w:pStyle w:val="4"/>
        <w:shd w:val="clear" w:color="auto" w:fill="FFFFFF"/>
        <w:spacing w:before="0" w:beforeAutospacing="0" w:after="0" w:afterAutospacing="0"/>
        <w:ind w:firstLine="480"/>
        <w:jc w:val="both"/>
        <w:rPr>
          <w:rFonts w:hint="eastAsia"/>
          <w:color w:val="333333"/>
        </w:rPr>
      </w:pPr>
      <w:r>
        <w:rPr>
          <w:rFonts w:hint="eastAsia"/>
          <w:color w:val="333333"/>
        </w:rPr>
        <w:t>项目涉及有关部门或者项目所在地地方人民政府职责的，核准机关应当书面征求其意见,被征求意见单位应当及时书面回复。</w:t>
      </w:r>
    </w:p>
    <w:p w14:paraId="518B3C50">
      <w:pPr>
        <w:pStyle w:val="4"/>
        <w:shd w:val="clear" w:color="auto" w:fill="FFFFFF"/>
        <w:spacing w:before="0" w:beforeAutospacing="0" w:after="0" w:afterAutospacing="0"/>
        <w:ind w:firstLine="480"/>
        <w:jc w:val="both"/>
        <w:rPr>
          <w:rFonts w:hint="eastAsia"/>
          <w:color w:val="333333"/>
        </w:rPr>
      </w:pPr>
      <w:r>
        <w:rPr>
          <w:rFonts w:hint="eastAsia"/>
          <w:color w:val="333333"/>
        </w:rPr>
        <w:t>核准机关委托中介服务机构对项目进行评估的，应当明确评估重点；除项目情况复杂的，评估时限不得超过30个工作日。评估费用由核准机关承担。</w:t>
      </w:r>
    </w:p>
    <w:p w14:paraId="5C057FF4">
      <w:pPr>
        <w:pStyle w:val="4"/>
        <w:shd w:val="clear" w:color="auto" w:fill="FFFFFF"/>
        <w:spacing w:before="0" w:beforeAutospacing="0" w:after="0" w:afterAutospacing="0"/>
        <w:ind w:firstLine="480"/>
        <w:jc w:val="both"/>
        <w:rPr>
          <w:rFonts w:hint="eastAsia"/>
          <w:color w:val="333333"/>
        </w:rPr>
      </w:pPr>
      <w:r>
        <w:rPr>
          <w:rFonts w:hint="eastAsia"/>
          <w:b/>
          <w:bCs/>
          <w:color w:val="333333"/>
        </w:rPr>
        <w:t>第十条</w:t>
      </w:r>
      <w:r>
        <w:rPr>
          <w:rFonts w:hint="eastAsia"/>
          <w:color w:val="333333"/>
        </w:rPr>
        <w:t>　核准机关应当自受理申请之日起20个工作日内，作出是否予以核准的决定；项目情况复杂或者需要征求有关单位意见的，经本机关主要负责人批准，可以延长核准期限，但延长的期限不得超过40个工作日。核准机关委托中介服务机构对项目进行评估的，评估时间不计入核准期限。</w:t>
      </w:r>
    </w:p>
    <w:p w14:paraId="459F7D0D">
      <w:pPr>
        <w:pStyle w:val="4"/>
        <w:shd w:val="clear" w:color="auto" w:fill="FFFFFF"/>
        <w:spacing w:before="0" w:beforeAutospacing="0" w:after="0" w:afterAutospacing="0"/>
        <w:ind w:firstLine="480"/>
        <w:jc w:val="both"/>
        <w:rPr>
          <w:rFonts w:hint="eastAsia"/>
          <w:color w:val="333333"/>
        </w:rPr>
      </w:pPr>
      <w:r>
        <w:rPr>
          <w:rFonts w:hint="eastAsia"/>
          <w:color w:val="333333"/>
        </w:rPr>
        <w:t>核准机关对项目予以核准的，应当向企业出具核准文件；不予核准的，应当书面通知企业并说明理由。由国务院核准的项目，由国务院投资主管部门根据国务院的决定向企业出具核准文件或者不予核准的书面通知。</w:t>
      </w:r>
    </w:p>
    <w:p w14:paraId="56B87C34">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第十一条</w:t>
      </w:r>
      <w:r>
        <w:rPr>
          <w:rFonts w:hint="eastAsia"/>
          <w:color w:val="333333"/>
        </w:rPr>
        <w:t>　企业拟变更已核准项目的建设地点，或者拟对建设规模、建设内容等作较大变更的，应当向核准机关提出变更申请。核准机关应当自受理申请之日起20个工作日内，作出是否同意变更的书面决定。</w:t>
      </w:r>
    </w:p>
    <w:p w14:paraId="01D86DDD">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第十二条</w:t>
      </w:r>
      <w:r>
        <w:rPr>
          <w:rFonts w:hint="eastAsia"/>
          <w:color w:val="333333"/>
        </w:rPr>
        <w:t>　项目自核准机关作出予以核准决定或者同意变更决定之日起2年内未开工建设，需要延期开工建设的，企业应当在2年期限届满的30个工作日前，向核准机关申请延期开工建设。核准机关应当自受理申请之日起20个工作日内，作出是否同意延期开工建设的决定。开工建设只能延期一次，期限最长不得超过1年。国家对项目延期开工建设另有规定的，依照其规定。</w:t>
      </w:r>
    </w:p>
    <w:p w14:paraId="648F42F0">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第十三条</w:t>
      </w:r>
      <w:r>
        <w:rPr>
          <w:rFonts w:hint="eastAsia"/>
          <w:color w:val="333333"/>
        </w:rPr>
        <w:t>　实行备案管理的项目，企业应当在开工建设前通过在线平台将下列信息告知备案机关：</w:t>
      </w:r>
    </w:p>
    <w:p w14:paraId="188C71FF">
      <w:pPr>
        <w:pStyle w:val="4"/>
        <w:shd w:val="clear" w:color="auto" w:fill="FFFFFF"/>
        <w:spacing w:before="0" w:beforeAutospacing="0" w:after="0" w:afterAutospacing="0"/>
        <w:ind w:firstLine="480"/>
        <w:jc w:val="both"/>
        <w:rPr>
          <w:rFonts w:hint="eastAsia"/>
          <w:color w:val="333333"/>
        </w:rPr>
      </w:pPr>
      <w:r>
        <w:rPr>
          <w:rFonts w:hint="eastAsia"/>
          <w:color w:val="333333"/>
        </w:rPr>
        <w:t>（一）企业基本情况；</w:t>
      </w:r>
    </w:p>
    <w:p w14:paraId="2995045C">
      <w:pPr>
        <w:pStyle w:val="4"/>
        <w:shd w:val="clear" w:color="auto" w:fill="FFFFFF"/>
        <w:spacing w:before="0" w:beforeAutospacing="0" w:after="0" w:afterAutospacing="0"/>
        <w:ind w:firstLine="480"/>
        <w:jc w:val="both"/>
        <w:rPr>
          <w:rFonts w:hint="eastAsia"/>
          <w:color w:val="333333"/>
        </w:rPr>
      </w:pPr>
      <w:r>
        <w:rPr>
          <w:rFonts w:hint="eastAsia"/>
          <w:color w:val="333333"/>
        </w:rPr>
        <w:t>（二）项目名称、建设地点、建设规模、建设内容；</w:t>
      </w:r>
    </w:p>
    <w:p w14:paraId="6C64250A">
      <w:pPr>
        <w:pStyle w:val="4"/>
        <w:shd w:val="clear" w:color="auto" w:fill="FFFFFF"/>
        <w:spacing w:before="0" w:beforeAutospacing="0" w:after="0" w:afterAutospacing="0"/>
        <w:ind w:firstLine="480"/>
        <w:jc w:val="both"/>
        <w:rPr>
          <w:rFonts w:hint="eastAsia"/>
          <w:color w:val="333333"/>
        </w:rPr>
      </w:pPr>
      <w:r>
        <w:rPr>
          <w:rFonts w:hint="eastAsia"/>
          <w:color w:val="333333"/>
        </w:rPr>
        <w:t>（三）项目总投资额；</w:t>
      </w:r>
    </w:p>
    <w:p w14:paraId="48AE845A">
      <w:pPr>
        <w:pStyle w:val="4"/>
        <w:shd w:val="clear" w:color="auto" w:fill="FFFFFF"/>
        <w:spacing w:before="0" w:beforeAutospacing="0" w:after="0" w:afterAutospacing="0"/>
        <w:ind w:firstLine="480"/>
        <w:jc w:val="both"/>
        <w:rPr>
          <w:rFonts w:hint="eastAsia"/>
          <w:color w:val="333333"/>
        </w:rPr>
      </w:pPr>
      <w:r>
        <w:rPr>
          <w:rFonts w:hint="eastAsia"/>
          <w:color w:val="333333"/>
        </w:rPr>
        <w:t>（四）项目符合产业政策的声明。</w:t>
      </w:r>
    </w:p>
    <w:p w14:paraId="6233150C">
      <w:pPr>
        <w:pStyle w:val="4"/>
        <w:shd w:val="clear" w:color="auto" w:fill="FFFFFF"/>
        <w:spacing w:before="0" w:beforeAutospacing="0" w:after="0" w:afterAutospacing="0"/>
        <w:ind w:firstLine="480"/>
        <w:jc w:val="both"/>
        <w:rPr>
          <w:rFonts w:hint="eastAsia"/>
          <w:color w:val="333333"/>
        </w:rPr>
      </w:pPr>
      <w:r>
        <w:rPr>
          <w:rFonts w:hint="eastAsia"/>
          <w:color w:val="333333"/>
        </w:rPr>
        <w:t>企业应当对备案项目信息的真实性负责。</w:t>
      </w:r>
    </w:p>
    <w:p w14:paraId="5462EB64">
      <w:pPr>
        <w:pStyle w:val="4"/>
        <w:shd w:val="clear" w:color="auto" w:fill="FFFFFF"/>
        <w:spacing w:before="0" w:beforeAutospacing="0" w:after="0" w:afterAutospacing="0"/>
        <w:ind w:firstLine="480"/>
        <w:jc w:val="both"/>
        <w:rPr>
          <w:rFonts w:hint="eastAsia"/>
          <w:color w:val="333333"/>
        </w:rPr>
      </w:pPr>
      <w:r>
        <w:rPr>
          <w:rFonts w:hint="eastAsia"/>
          <w:color w:val="333333"/>
        </w:rPr>
        <w:t>备案机关收到本条第一款规定的全部信息即为备案；企业告知的信息不齐全的，备案机关应当指导企业补正。</w:t>
      </w:r>
    </w:p>
    <w:p w14:paraId="57391A74">
      <w:pPr>
        <w:pStyle w:val="4"/>
        <w:shd w:val="clear" w:color="auto" w:fill="FFFFFF"/>
        <w:spacing w:before="0" w:beforeAutospacing="0" w:after="0" w:afterAutospacing="0"/>
        <w:ind w:firstLine="480"/>
        <w:jc w:val="both"/>
        <w:rPr>
          <w:rFonts w:hint="eastAsia"/>
          <w:color w:val="333333"/>
        </w:rPr>
      </w:pPr>
      <w:r>
        <w:rPr>
          <w:rFonts w:hint="eastAsia"/>
          <w:color w:val="333333"/>
        </w:rPr>
        <w:t>企业需要备案证明的，可以要求备案机关出具或者通过在线平台自行打印。</w:t>
      </w:r>
    </w:p>
    <w:p w14:paraId="51CB4778">
      <w:pPr>
        <w:pStyle w:val="4"/>
        <w:shd w:val="clear" w:color="auto" w:fill="FFFFFF"/>
        <w:spacing w:before="0" w:beforeAutospacing="0" w:after="0" w:afterAutospacing="0"/>
        <w:ind w:firstLine="480"/>
        <w:jc w:val="both"/>
        <w:rPr>
          <w:rFonts w:hint="eastAsia"/>
          <w:color w:val="333333"/>
        </w:rPr>
      </w:pPr>
      <w:r>
        <w:rPr>
          <w:rFonts w:hint="eastAsia"/>
          <w:b/>
          <w:bCs/>
          <w:color w:val="333333"/>
        </w:rPr>
        <w:t>第十四条</w:t>
      </w:r>
      <w:r>
        <w:rPr>
          <w:rFonts w:hint="eastAsia"/>
          <w:color w:val="333333"/>
        </w:rPr>
        <w:t>　已备案项目信息发生较大变更的，企业应当及时告知备案机关。</w:t>
      </w:r>
    </w:p>
    <w:p w14:paraId="76A7A22B">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第十五条</w:t>
      </w:r>
      <w:r>
        <w:rPr>
          <w:rFonts w:hint="eastAsia"/>
          <w:color w:val="333333"/>
        </w:rPr>
        <w:t>　备案机关发现已备案项目属于产业政策禁止投资建设或者实行核准管理的，应当及时告知企业予以纠正或者依法办理核准手续，并通知有关部门。</w:t>
      </w:r>
    </w:p>
    <w:p w14:paraId="67ABA186">
      <w:pPr>
        <w:pStyle w:val="4"/>
        <w:shd w:val="clear" w:color="auto" w:fill="FFFFFF"/>
        <w:spacing w:before="0" w:beforeAutospacing="0" w:after="0" w:afterAutospacing="0"/>
        <w:ind w:firstLine="480"/>
        <w:jc w:val="both"/>
        <w:rPr>
          <w:rFonts w:hint="eastAsia"/>
          <w:color w:val="333333"/>
        </w:rPr>
      </w:pPr>
      <w:r>
        <w:rPr>
          <w:rFonts w:hint="eastAsia"/>
          <w:b/>
          <w:bCs/>
          <w:color w:val="333333"/>
        </w:rPr>
        <w:t>第十六条</w:t>
      </w:r>
      <w:r>
        <w:rPr>
          <w:rFonts w:hint="eastAsia"/>
          <w:color w:val="333333"/>
        </w:rPr>
        <w:t>　核准机关、备案机关以及依法对项目负有监督管理职责的其他有关部门应当加强事中事后监管，按照谁审批谁监管、谁主管谁监管的原则，落实监管责任，采取在线监测、现场核查等方式，加强对项目实施的监督检查。</w:t>
      </w:r>
    </w:p>
    <w:p w14:paraId="2D082473">
      <w:pPr>
        <w:pStyle w:val="4"/>
        <w:shd w:val="clear" w:color="auto" w:fill="FFFFFF"/>
        <w:spacing w:before="0" w:beforeAutospacing="0" w:after="0" w:afterAutospacing="0"/>
        <w:ind w:firstLine="480"/>
        <w:jc w:val="both"/>
        <w:rPr>
          <w:rFonts w:hint="eastAsia"/>
          <w:color w:val="333333"/>
        </w:rPr>
      </w:pPr>
      <w:r>
        <w:rPr>
          <w:rFonts w:hint="eastAsia"/>
          <w:color w:val="333333"/>
        </w:rPr>
        <w:t>企业应当通过在线平台如实报送项目开工建设、建设进度、竣工的基本信息。</w:t>
      </w:r>
    </w:p>
    <w:p w14:paraId="222FC81B">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第十七条</w:t>
      </w:r>
      <w:r>
        <w:rPr>
          <w:rFonts w:hint="eastAsia"/>
          <w:color w:val="333333"/>
        </w:rPr>
        <w:t>　核准机关、备案机关以及依法对项目负有监督管理职责的其他有关部门应当建立项目信息共享机制，通过在线平台实现信息共享。</w:t>
      </w:r>
    </w:p>
    <w:p w14:paraId="5D3CCA4A">
      <w:pPr>
        <w:pStyle w:val="4"/>
        <w:shd w:val="clear" w:color="auto" w:fill="FFFFFF"/>
        <w:spacing w:before="0" w:beforeAutospacing="0" w:after="0" w:afterAutospacing="0"/>
        <w:ind w:firstLine="480"/>
        <w:jc w:val="both"/>
        <w:rPr>
          <w:rFonts w:hint="eastAsia"/>
          <w:color w:val="333333"/>
        </w:rPr>
      </w:pPr>
      <w:r>
        <w:rPr>
          <w:rFonts w:hint="eastAsia"/>
          <w:color w:val="333333"/>
        </w:rPr>
        <w:t>企业在项目核准、备案以及项目实施中的违法行为及其处理信息，通过国家社会信用信息平台向社会公示。</w:t>
      </w:r>
    </w:p>
    <w:p w14:paraId="5714B61B">
      <w:pPr>
        <w:pStyle w:val="4"/>
        <w:shd w:val="clear" w:color="auto" w:fill="FFFFFF"/>
        <w:spacing w:before="0" w:beforeAutospacing="0" w:after="0" w:afterAutospacing="0"/>
        <w:ind w:firstLine="480"/>
        <w:jc w:val="both"/>
        <w:rPr>
          <w:rFonts w:hint="eastAsia"/>
          <w:color w:val="333333"/>
        </w:rPr>
      </w:pPr>
      <w:r>
        <w:rPr>
          <w:rFonts w:hint="eastAsia"/>
          <w:b/>
          <w:bCs/>
          <w:color w:val="333333"/>
        </w:rPr>
        <w:t>第十八条</w:t>
      </w:r>
      <w:r>
        <w:rPr>
          <w:rFonts w:hint="eastAsia"/>
          <w:color w:val="333333"/>
        </w:rPr>
        <w:t>　实行核准管理的项目，企业未依照本条例规定办理核准手续开工建设或者未按照核准的建设地点、建设规模、建设内容等进行建设的，由核准机关责令停止建设或者责令停产，对企业处项目总投资额1‰以上5‰以下的罚款；对直接负责的主管人员和其他直接责任人员处2万元以上5万元以下的罚款，属于国家工作人员的，依法给予处分。</w:t>
      </w:r>
    </w:p>
    <w:p w14:paraId="3E8F6AC0">
      <w:pPr>
        <w:pStyle w:val="4"/>
        <w:shd w:val="clear" w:color="auto" w:fill="FFFFFF"/>
        <w:spacing w:before="0" w:beforeAutospacing="0" w:after="0" w:afterAutospacing="0"/>
        <w:ind w:firstLine="480"/>
        <w:jc w:val="both"/>
        <w:rPr>
          <w:rFonts w:hint="eastAsia"/>
          <w:color w:val="333333"/>
        </w:rPr>
      </w:pPr>
      <w:r>
        <w:rPr>
          <w:rFonts w:hint="eastAsia"/>
          <w:color w:val="333333"/>
        </w:rPr>
        <w:t>以欺骗、贿赂等不正当手段取得项目核准文件，尚未开工建设的，由核准机关撤销核准文件，处项目总投资额1‰以上5‰以下的罚款；已经开工建设的，依照前款规定予以处罚；构成犯罪的，依法追究刑事责任。</w:t>
      </w:r>
    </w:p>
    <w:p w14:paraId="4418F4FE">
      <w:pPr>
        <w:pStyle w:val="4"/>
        <w:shd w:val="clear" w:color="auto" w:fill="FFFFFF"/>
        <w:spacing w:before="0" w:beforeAutospacing="0" w:after="0" w:afterAutospacing="0"/>
        <w:ind w:firstLine="480"/>
        <w:jc w:val="both"/>
        <w:rPr>
          <w:rFonts w:hint="eastAsia"/>
          <w:color w:val="333333"/>
        </w:rPr>
      </w:pPr>
      <w:r>
        <w:rPr>
          <w:rFonts w:hint="eastAsia"/>
          <w:b/>
          <w:bCs/>
          <w:color w:val="333333"/>
        </w:rPr>
        <w:t>第十九条</w:t>
      </w:r>
      <w:r>
        <w:rPr>
          <w:rFonts w:hint="eastAsia"/>
          <w:color w:val="333333"/>
        </w:rPr>
        <w:t>　实行备案管理的项目，企业未依照本条例规定将项目信息或者已备案项目的信息变更情况告知备案机关，或者向备案机关提供虚假信息的，由备案机关责令限期改正；逾期不改正的，处2万元以上5万元以下的罚款。</w:t>
      </w:r>
    </w:p>
    <w:p w14:paraId="6355F6B1">
      <w:pPr>
        <w:pStyle w:val="4"/>
        <w:shd w:val="clear" w:color="auto" w:fill="FFFFFF"/>
        <w:spacing w:before="0" w:beforeAutospacing="0" w:after="0" w:afterAutospacing="0"/>
        <w:ind w:firstLine="480"/>
        <w:jc w:val="both"/>
        <w:rPr>
          <w:rFonts w:hint="eastAsia"/>
          <w:color w:val="333333"/>
        </w:rPr>
      </w:pPr>
      <w:r>
        <w:rPr>
          <w:rFonts w:hint="eastAsia"/>
          <w:b/>
          <w:bCs/>
          <w:color w:val="333333"/>
        </w:rPr>
        <w:t>第二十条</w:t>
      </w:r>
      <w:r>
        <w:rPr>
          <w:rFonts w:hint="eastAsia"/>
          <w:color w:val="333333"/>
        </w:rPr>
        <w:t>　企业投资建设产业政策禁止投资建设项目的，由县级以上人民政府投资主管部门责令停止建设或者责令停产并恢复原状，对企业处项目总投资额5‰以上10‰以下的罚款；对直接负责的主管人员和其他直接责任人员处5万元以上10万元以下的罚款，属于国家工作人员的，依法给予处分。法律、行政法规另有规定的，依照其规定。</w:t>
      </w:r>
    </w:p>
    <w:p w14:paraId="0174A567">
      <w:pPr>
        <w:pStyle w:val="4"/>
        <w:shd w:val="clear" w:color="auto" w:fill="FFFFFF"/>
        <w:spacing w:before="0" w:beforeAutospacing="0" w:after="0" w:afterAutospacing="0"/>
        <w:ind w:firstLine="480"/>
        <w:jc w:val="both"/>
        <w:rPr>
          <w:rFonts w:hint="eastAsia"/>
          <w:color w:val="333333"/>
        </w:rPr>
      </w:pPr>
      <w:r>
        <w:rPr>
          <w:rFonts w:hint="eastAsia"/>
          <w:b/>
          <w:bCs/>
          <w:color w:val="333333"/>
        </w:rPr>
        <w:t>第二十一条</w:t>
      </w:r>
      <w:r>
        <w:rPr>
          <w:rFonts w:hint="eastAsia"/>
          <w:color w:val="333333"/>
        </w:rPr>
        <w:t>　核准机关、备案机关及其工作人员在项目核准、备案工作中玩忽职守、滥用职权、徇私舞弊的，对负有责任的领导人员和直接责任人员依法给予处分；构成犯罪的，依法追究刑事责任。</w:t>
      </w:r>
    </w:p>
    <w:p w14:paraId="712961C6">
      <w:pPr>
        <w:pStyle w:val="4"/>
        <w:shd w:val="clear" w:color="auto" w:fill="FFFFFF"/>
        <w:spacing w:before="0" w:beforeAutospacing="0" w:after="0" w:afterAutospacing="0"/>
        <w:ind w:firstLine="480"/>
        <w:jc w:val="both"/>
        <w:rPr>
          <w:rFonts w:hint="eastAsia"/>
          <w:color w:val="333333"/>
        </w:rPr>
      </w:pPr>
      <w:r>
        <w:rPr>
          <w:rFonts w:hint="eastAsia"/>
          <w:b/>
          <w:bCs/>
          <w:color w:val="333333"/>
        </w:rPr>
        <w:t>第二十二条</w:t>
      </w:r>
      <w:r>
        <w:rPr>
          <w:rFonts w:hint="eastAsia"/>
          <w:color w:val="333333"/>
        </w:rPr>
        <w:t>　事业单位、社会团体等非企业组织在中国境内投资建设的固定资产投资项目适用本条例，但通过预算安排的固定资产投资项目除外。</w:t>
      </w:r>
    </w:p>
    <w:p w14:paraId="629BF58A">
      <w:pPr>
        <w:pStyle w:val="4"/>
        <w:shd w:val="clear" w:color="auto" w:fill="FFFFFF"/>
        <w:spacing w:before="0" w:beforeAutospacing="0" w:after="0" w:afterAutospacing="0"/>
        <w:ind w:firstLine="480"/>
        <w:jc w:val="both"/>
        <w:rPr>
          <w:rFonts w:hint="eastAsia"/>
          <w:color w:val="333333"/>
        </w:rPr>
      </w:pPr>
      <w:r>
        <w:rPr>
          <w:rFonts w:hint="eastAsia"/>
          <w:b/>
          <w:bCs/>
          <w:color w:val="333333"/>
        </w:rPr>
        <w:t>第二十三条</w:t>
      </w:r>
      <w:r>
        <w:rPr>
          <w:rFonts w:hint="eastAsia"/>
          <w:color w:val="333333"/>
        </w:rPr>
        <w:t>　国防科技工业企业在中国境内投资建设的固定资产投资项目核准和备案管理办法，由国务院国防科技工业管理部门根据本条例的原则另行制定。</w:t>
      </w:r>
    </w:p>
    <w:p w14:paraId="7428232B">
      <w:pPr>
        <w:pStyle w:val="4"/>
        <w:shd w:val="clear" w:color="auto" w:fill="FFFFFF"/>
        <w:spacing w:before="0" w:beforeAutospacing="0" w:after="0" w:afterAutospacing="0"/>
        <w:ind w:firstLine="480"/>
        <w:jc w:val="both"/>
        <w:rPr>
          <w:rFonts w:hint="eastAsia"/>
          <w:color w:val="333333"/>
        </w:rPr>
      </w:pPr>
      <w:r>
        <w:rPr>
          <w:rFonts w:hint="eastAsia"/>
          <w:b/>
          <w:bCs/>
          <w:color w:val="333333"/>
        </w:rPr>
        <w:t>第二十四条</w:t>
      </w:r>
      <w:r>
        <w:rPr>
          <w:rFonts w:hint="eastAsia"/>
          <w:color w:val="333333"/>
        </w:rPr>
        <w:t>　本条例自2017年2月1日起施行。</w:t>
      </w:r>
    </w:p>
    <w:p w14:paraId="010A1DB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2C"/>
    <w:rsid w:val="0003451A"/>
    <w:rsid w:val="000532BE"/>
    <w:rsid w:val="0005505E"/>
    <w:rsid w:val="00056F25"/>
    <w:rsid w:val="000805B8"/>
    <w:rsid w:val="00083F4E"/>
    <w:rsid w:val="000917E2"/>
    <w:rsid w:val="000923A3"/>
    <w:rsid w:val="00096E98"/>
    <w:rsid w:val="000A1902"/>
    <w:rsid w:val="000B62F7"/>
    <w:rsid w:val="000C6ACC"/>
    <w:rsid w:val="000C7DBD"/>
    <w:rsid w:val="000C7EAD"/>
    <w:rsid w:val="000E03EE"/>
    <w:rsid w:val="000E21E6"/>
    <w:rsid w:val="0010157B"/>
    <w:rsid w:val="00106F12"/>
    <w:rsid w:val="00112D58"/>
    <w:rsid w:val="00131BBF"/>
    <w:rsid w:val="00134D52"/>
    <w:rsid w:val="00145758"/>
    <w:rsid w:val="001517F6"/>
    <w:rsid w:val="001712D3"/>
    <w:rsid w:val="00177751"/>
    <w:rsid w:val="0019329C"/>
    <w:rsid w:val="001952A5"/>
    <w:rsid w:val="001A57FD"/>
    <w:rsid w:val="001B49DB"/>
    <w:rsid w:val="001D2145"/>
    <w:rsid w:val="001E32DE"/>
    <w:rsid w:val="001E69B0"/>
    <w:rsid w:val="001F4AE7"/>
    <w:rsid w:val="001F7824"/>
    <w:rsid w:val="00205C7B"/>
    <w:rsid w:val="00212D15"/>
    <w:rsid w:val="002320BE"/>
    <w:rsid w:val="002452B0"/>
    <w:rsid w:val="002509B5"/>
    <w:rsid w:val="00260CEF"/>
    <w:rsid w:val="002621AD"/>
    <w:rsid w:val="002712DD"/>
    <w:rsid w:val="00274BBD"/>
    <w:rsid w:val="002947D9"/>
    <w:rsid w:val="002C1494"/>
    <w:rsid w:val="002C6646"/>
    <w:rsid w:val="003107CD"/>
    <w:rsid w:val="0031430D"/>
    <w:rsid w:val="00341389"/>
    <w:rsid w:val="00374063"/>
    <w:rsid w:val="00377849"/>
    <w:rsid w:val="00380C14"/>
    <w:rsid w:val="00381491"/>
    <w:rsid w:val="00386E96"/>
    <w:rsid w:val="003C4421"/>
    <w:rsid w:val="003C6C41"/>
    <w:rsid w:val="003D77DA"/>
    <w:rsid w:val="003E58BC"/>
    <w:rsid w:val="003F6174"/>
    <w:rsid w:val="004023AE"/>
    <w:rsid w:val="0041067B"/>
    <w:rsid w:val="00415DBC"/>
    <w:rsid w:val="004225C7"/>
    <w:rsid w:val="004627CF"/>
    <w:rsid w:val="00481FBF"/>
    <w:rsid w:val="0048641D"/>
    <w:rsid w:val="004A3614"/>
    <w:rsid w:val="004D131F"/>
    <w:rsid w:val="004E2F86"/>
    <w:rsid w:val="004F2E0C"/>
    <w:rsid w:val="00503A56"/>
    <w:rsid w:val="0051735F"/>
    <w:rsid w:val="005208D2"/>
    <w:rsid w:val="00525FC2"/>
    <w:rsid w:val="0052661F"/>
    <w:rsid w:val="00544665"/>
    <w:rsid w:val="00561931"/>
    <w:rsid w:val="00565958"/>
    <w:rsid w:val="0057147D"/>
    <w:rsid w:val="00572E4E"/>
    <w:rsid w:val="0058251E"/>
    <w:rsid w:val="00594DCD"/>
    <w:rsid w:val="00596474"/>
    <w:rsid w:val="00597B0B"/>
    <w:rsid w:val="005A7CAE"/>
    <w:rsid w:val="005B27E4"/>
    <w:rsid w:val="005B5FA7"/>
    <w:rsid w:val="005D6934"/>
    <w:rsid w:val="005D73D4"/>
    <w:rsid w:val="005D7708"/>
    <w:rsid w:val="005E133B"/>
    <w:rsid w:val="005E4274"/>
    <w:rsid w:val="005E42DF"/>
    <w:rsid w:val="005E77FE"/>
    <w:rsid w:val="00606FC9"/>
    <w:rsid w:val="0065126E"/>
    <w:rsid w:val="00652BCE"/>
    <w:rsid w:val="0065348B"/>
    <w:rsid w:val="0065367B"/>
    <w:rsid w:val="0066662B"/>
    <w:rsid w:val="00675E55"/>
    <w:rsid w:val="006808F5"/>
    <w:rsid w:val="0068125D"/>
    <w:rsid w:val="00681E9B"/>
    <w:rsid w:val="00685CC4"/>
    <w:rsid w:val="00693D07"/>
    <w:rsid w:val="006A5614"/>
    <w:rsid w:val="006B31FA"/>
    <w:rsid w:val="006C2BEC"/>
    <w:rsid w:val="006C304E"/>
    <w:rsid w:val="006C4196"/>
    <w:rsid w:val="006C6ED9"/>
    <w:rsid w:val="0070609C"/>
    <w:rsid w:val="0071129B"/>
    <w:rsid w:val="007174B0"/>
    <w:rsid w:val="00731279"/>
    <w:rsid w:val="00743D21"/>
    <w:rsid w:val="00753C73"/>
    <w:rsid w:val="007611F9"/>
    <w:rsid w:val="007661A0"/>
    <w:rsid w:val="00772BD9"/>
    <w:rsid w:val="007738D5"/>
    <w:rsid w:val="007862F1"/>
    <w:rsid w:val="007A68A6"/>
    <w:rsid w:val="007B49E5"/>
    <w:rsid w:val="007B6131"/>
    <w:rsid w:val="007C7213"/>
    <w:rsid w:val="007E47C3"/>
    <w:rsid w:val="007F3AB7"/>
    <w:rsid w:val="00814DAD"/>
    <w:rsid w:val="00846DC8"/>
    <w:rsid w:val="008743C8"/>
    <w:rsid w:val="00877032"/>
    <w:rsid w:val="00883172"/>
    <w:rsid w:val="00883991"/>
    <w:rsid w:val="008840DB"/>
    <w:rsid w:val="00896F2C"/>
    <w:rsid w:val="008A02E4"/>
    <w:rsid w:val="008A4D27"/>
    <w:rsid w:val="008A5199"/>
    <w:rsid w:val="008C08CA"/>
    <w:rsid w:val="008D46CC"/>
    <w:rsid w:val="008D5B2F"/>
    <w:rsid w:val="00916DB8"/>
    <w:rsid w:val="00920A9F"/>
    <w:rsid w:val="00922F7E"/>
    <w:rsid w:val="0092596E"/>
    <w:rsid w:val="009578AF"/>
    <w:rsid w:val="009611DB"/>
    <w:rsid w:val="009625D0"/>
    <w:rsid w:val="00981369"/>
    <w:rsid w:val="00990CA8"/>
    <w:rsid w:val="00991355"/>
    <w:rsid w:val="009A45F9"/>
    <w:rsid w:val="009B4341"/>
    <w:rsid w:val="009B4E33"/>
    <w:rsid w:val="009C038E"/>
    <w:rsid w:val="009C6D9E"/>
    <w:rsid w:val="009E7FC9"/>
    <w:rsid w:val="00A0340F"/>
    <w:rsid w:val="00A05853"/>
    <w:rsid w:val="00A1587C"/>
    <w:rsid w:val="00A15ED0"/>
    <w:rsid w:val="00A30356"/>
    <w:rsid w:val="00A363BD"/>
    <w:rsid w:val="00A60BB0"/>
    <w:rsid w:val="00A6249D"/>
    <w:rsid w:val="00A76BA8"/>
    <w:rsid w:val="00AA26BC"/>
    <w:rsid w:val="00AA525F"/>
    <w:rsid w:val="00AB69A0"/>
    <w:rsid w:val="00AD0EB1"/>
    <w:rsid w:val="00AD60C0"/>
    <w:rsid w:val="00AD7146"/>
    <w:rsid w:val="00AE2E30"/>
    <w:rsid w:val="00AF016F"/>
    <w:rsid w:val="00AF0AF0"/>
    <w:rsid w:val="00AF337F"/>
    <w:rsid w:val="00AF7B3B"/>
    <w:rsid w:val="00B143D1"/>
    <w:rsid w:val="00B16F7C"/>
    <w:rsid w:val="00B2122C"/>
    <w:rsid w:val="00B34F5F"/>
    <w:rsid w:val="00B37972"/>
    <w:rsid w:val="00B42CB4"/>
    <w:rsid w:val="00B57CEC"/>
    <w:rsid w:val="00B6685F"/>
    <w:rsid w:val="00B81B6B"/>
    <w:rsid w:val="00B8256E"/>
    <w:rsid w:val="00B91056"/>
    <w:rsid w:val="00C0271E"/>
    <w:rsid w:val="00C61375"/>
    <w:rsid w:val="00C65884"/>
    <w:rsid w:val="00C65AA6"/>
    <w:rsid w:val="00C73A9A"/>
    <w:rsid w:val="00CA1408"/>
    <w:rsid w:val="00CD5FD7"/>
    <w:rsid w:val="00CD64CB"/>
    <w:rsid w:val="00CD72FE"/>
    <w:rsid w:val="00CF5DA5"/>
    <w:rsid w:val="00D014F6"/>
    <w:rsid w:val="00D10F28"/>
    <w:rsid w:val="00D447FB"/>
    <w:rsid w:val="00D55F86"/>
    <w:rsid w:val="00D609C9"/>
    <w:rsid w:val="00D70C67"/>
    <w:rsid w:val="00D72116"/>
    <w:rsid w:val="00D742D8"/>
    <w:rsid w:val="00DA78B3"/>
    <w:rsid w:val="00DB3C95"/>
    <w:rsid w:val="00DC0B09"/>
    <w:rsid w:val="00DC250F"/>
    <w:rsid w:val="00DD2336"/>
    <w:rsid w:val="00DF0627"/>
    <w:rsid w:val="00DF41CD"/>
    <w:rsid w:val="00E00BA3"/>
    <w:rsid w:val="00E03675"/>
    <w:rsid w:val="00E06201"/>
    <w:rsid w:val="00E063C0"/>
    <w:rsid w:val="00E3170A"/>
    <w:rsid w:val="00E528DD"/>
    <w:rsid w:val="00E56152"/>
    <w:rsid w:val="00E616AD"/>
    <w:rsid w:val="00E677C3"/>
    <w:rsid w:val="00E7244B"/>
    <w:rsid w:val="00E819FF"/>
    <w:rsid w:val="00E83E12"/>
    <w:rsid w:val="00EA6719"/>
    <w:rsid w:val="00EC3C10"/>
    <w:rsid w:val="00ED0060"/>
    <w:rsid w:val="00ED2817"/>
    <w:rsid w:val="00F02626"/>
    <w:rsid w:val="00F1296C"/>
    <w:rsid w:val="00F4255A"/>
    <w:rsid w:val="00F65833"/>
    <w:rsid w:val="00F80245"/>
    <w:rsid w:val="00F91F0D"/>
    <w:rsid w:val="00FA777D"/>
    <w:rsid w:val="00FB06AF"/>
    <w:rsid w:val="00FE2F94"/>
    <w:rsid w:val="00FF0896"/>
    <w:rsid w:val="00FF7667"/>
    <w:rsid w:val="01984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3077</Words>
  <Characters>3104</Characters>
  <Lines>22</Lines>
  <Paragraphs>6</Paragraphs>
  <TotalTime>0</TotalTime>
  <ScaleCrop>false</ScaleCrop>
  <LinksUpToDate>false</LinksUpToDate>
  <CharactersWithSpaces>3180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2020-03-23T01:56:00Z</dcterms:created>
  <dc:creator>Administrator</dc:creator>
  <cp:lastModifiedBy>Administrator</cp:lastModifiedBy>
  <dcterms:modified xsi:type="dcterms:W3CDTF">2026-02-27T03:01:39Z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9D4F3D561719488184EF56DA0D690256_13</vt:lpwstr>
  </property>
</Properties>
</file>